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rPr>
          <w:rFonts w:ascii="Arial" w:hAnsi="Arial" w:cs="Arial"/>
          <w:b/>
          <w:b/>
          <w:color w:val="17365D" w:themeColor="text2" w:themeShade="bf"/>
          <w:sz w:val="20"/>
          <w:szCs w:val="20"/>
        </w:rPr>
      </w:pPr>
      <w:r>
        <w:rPr>
          <w:rFonts w:cs="Arial" w:ascii="Arial" w:hAnsi="Arial"/>
          <w:b/>
          <w:color w:val="17365D" w:themeColor="text2" w:themeShade="bf"/>
          <w:sz w:val="20"/>
          <w:szCs w:val="20"/>
        </w:rPr>
        <w:t>MAIRIE DE BANDOL</w:t>
        <w:tab/>
        <w:tab/>
        <w:tab/>
        <w:tab/>
        <w:tab/>
        <w:t>TAXE LOCALE SUR LA PUBLICITE EXTERIEURE</w:t>
      </w:r>
    </w:p>
    <w:p>
      <w:pPr>
        <w:pStyle w:val="Normal"/>
        <w:spacing w:lineRule="auto" w:line="240" w:before="0" w:after="0"/>
        <w:rPr>
          <w:rFonts w:ascii="Arial" w:hAnsi="Arial" w:cs="Arial"/>
          <w:b/>
          <w:b/>
          <w:color w:val="17365D" w:themeColor="text2" w:themeShade="bf"/>
          <w:sz w:val="20"/>
          <w:szCs w:val="20"/>
        </w:rPr>
      </w:pPr>
      <w:r>
        <w:rPr>
          <w:rFonts w:cs="Arial" w:ascii="Arial" w:hAnsi="Arial"/>
          <w:b/>
          <w:color w:val="17365D" w:themeColor="text2" w:themeShade="bf"/>
          <w:sz w:val="20"/>
          <w:szCs w:val="20"/>
        </w:rPr>
        <w:t>Place Lucien Grillon</w:t>
        <w:tab/>
        <w:tab/>
        <w:tab/>
        <w:tab/>
        <w:tab/>
        <w:tab/>
        <w:tab/>
        <w:t>(TLPE)</w:t>
      </w:r>
    </w:p>
    <w:p>
      <w:pPr>
        <w:pStyle w:val="Normal"/>
        <w:spacing w:lineRule="auto" w:line="240" w:before="0" w:after="0"/>
        <w:rPr>
          <w:rFonts w:ascii="Arial" w:hAnsi="Arial" w:cs="Arial"/>
          <w:b/>
          <w:b/>
          <w:color w:val="17365D" w:themeColor="text2" w:themeShade="bf"/>
          <w:sz w:val="20"/>
          <w:szCs w:val="20"/>
        </w:rPr>
      </w:pPr>
      <w:r>
        <w:rPr>
          <w:rFonts w:cs="Arial" w:ascii="Arial" w:hAnsi="Arial"/>
          <w:b/>
          <w:color w:val="17365D" w:themeColor="text2" w:themeShade="bf"/>
          <w:sz w:val="20"/>
          <w:szCs w:val="20"/>
        </w:rPr>
        <w:t>83150 BANDOL</w:t>
        <w:tab/>
        <w:tab/>
        <w:tab/>
        <w:tab/>
        <w:tab/>
        <w:tab/>
        <w:t>Art. L2333-6 à L2333-16 du CGCT</w:t>
      </w:r>
    </w:p>
    <w:p>
      <w:pPr>
        <w:pStyle w:val="Normal"/>
        <w:spacing w:lineRule="auto" w:line="240" w:before="0" w:after="0"/>
        <w:rPr>
          <w:rFonts w:ascii="Arial" w:hAnsi="Arial" w:cs="Arial"/>
          <w:b/>
          <w:b/>
          <w:color w:val="17365D" w:themeColor="text2" w:themeShade="bf"/>
          <w:sz w:val="20"/>
          <w:szCs w:val="20"/>
        </w:rPr>
      </w:pPr>
      <w:r>
        <w:rPr>
          <w:rFonts w:cs="Arial" w:ascii="Arial" w:hAnsi="Arial"/>
          <w:b/>
          <w:color w:val="17365D" w:themeColor="text2" w:themeShade="bf"/>
          <w:sz w:val="20"/>
          <w:szCs w:val="20"/>
        </w:rPr>
        <w:t>Tél 04.94.29.12.30</w:t>
      </w:r>
    </w:p>
    <w:p>
      <w:pPr>
        <w:pStyle w:val="Normal"/>
        <w:spacing w:lineRule="auto" w:line="240" w:before="0" w:after="0"/>
        <w:rPr>
          <w:rFonts w:ascii="Arial" w:hAnsi="Arial" w:cs="Arial"/>
          <w:b/>
          <w:b/>
          <w:color w:val="17365D" w:themeColor="text2" w:themeShade="bf"/>
          <w:sz w:val="32"/>
          <w:szCs w:val="32"/>
        </w:rPr>
      </w:pPr>
      <w:r>
        <w:rPr>
          <w:rFonts w:cs="Arial" w:ascii="Arial" w:hAnsi="Arial"/>
          <w:b/>
          <w:color w:val="17365D" w:themeColor="text2" w:themeShade="bf"/>
          <w:sz w:val="20"/>
          <w:szCs w:val="20"/>
        </w:rPr>
        <w:t>Fax 04 94 29 12 61</w:t>
        <w:tab/>
        <w:tab/>
        <w:tab/>
        <w:tab/>
        <w:tab/>
        <w:t xml:space="preserve">             </w:t>
      </w:r>
      <w:r>
        <w:rPr>
          <w:rFonts w:cs="Arial" w:ascii="Arial" w:hAnsi="Arial"/>
          <w:b/>
          <w:color w:val="17365D" w:themeColor="text2" w:themeShade="bf"/>
          <w:sz w:val="32"/>
          <w:szCs w:val="32"/>
        </w:rPr>
        <w:t xml:space="preserve">DECLARATION </w:t>
      </w:r>
      <w:r>
        <w:rPr>
          <w:rFonts w:cs="Arial" w:ascii="Arial" w:hAnsi="Arial"/>
          <w:b/>
          <w:color w:val="17365D" w:themeColor="text2" w:themeShade="bf"/>
          <w:sz w:val="32"/>
          <w:szCs w:val="32"/>
        </w:rPr>
        <w:t xml:space="preserve">année </w:t>
      </w:r>
      <w:r>
        <w:rPr>
          <w:rFonts w:cs="Arial" w:ascii="Arial" w:hAnsi="Arial"/>
          <w:b/>
          <w:color w:val="17365D" w:themeColor="text2" w:themeShade="bf"/>
          <w:sz w:val="32"/>
          <w:szCs w:val="32"/>
        </w:rPr>
        <w:t>20</w:t>
      </w:r>
      <w:r>
        <w:rPr>
          <w:rFonts w:cs="Arial" w:ascii="Arial" w:hAnsi="Arial"/>
          <w:b/>
          <w:color w:val="17365D" w:themeColor="text2" w:themeShade="bf"/>
          <w:sz w:val="32"/>
          <w:szCs w:val="32"/>
        </w:rPr>
        <w:t>21</w:t>
      </w:r>
    </w:p>
    <w:p>
      <w:pPr>
        <w:pStyle w:val="Normal"/>
        <w:spacing w:lineRule="auto" w:line="240" w:before="0" w:after="0"/>
        <w:rPr>
          <w:rFonts w:ascii="Arial" w:hAnsi="Arial" w:cs="Arial"/>
          <w:b/>
          <w:b/>
          <w:color w:val="17365D" w:themeColor="text2" w:themeShade="bf"/>
          <w:sz w:val="20"/>
          <w:szCs w:val="20"/>
        </w:rPr>
      </w:pPr>
      <w:r>
        <w:rPr>
          <w:rFonts w:cs="Arial" w:ascii="Arial" w:hAnsi="Arial"/>
          <w:b/>
          <w:color w:val="17365D" w:themeColor="text2" w:themeShade="bf"/>
          <w:sz w:val="20"/>
          <w:szCs w:val="20"/>
        </w:rPr>
      </w:r>
    </w:p>
    <w:p>
      <w:pPr>
        <w:pStyle w:val="Normal"/>
        <w:pBdr>
          <w:top w:val="single" w:sz="4" w:space="1" w:color="000000"/>
          <w:left w:val="single" w:sz="4" w:space="4" w:color="000000"/>
          <w:bottom w:val="single" w:sz="4" w:space="1" w:color="000000"/>
          <w:right w:val="single" w:sz="4" w:space="4" w:color="000000"/>
        </w:pBdr>
        <w:spacing w:lineRule="auto" w:line="240"/>
        <w:jc w:val="center"/>
        <w:rPr>
          <w:rFonts w:ascii="Arial" w:hAnsi="Arial" w:cs="Arial"/>
          <w:b/>
          <w:b/>
          <w:color w:val="FF0000"/>
          <w:sz w:val="28"/>
          <w:szCs w:val="28"/>
        </w:rPr>
      </w:pPr>
      <w:r>
        <w:rPr>
          <w:rFonts w:cs="Arial" w:ascii="Arial" w:hAnsi="Arial"/>
          <w:b/>
          <w:color w:val="FF0000"/>
          <w:sz w:val="28"/>
          <w:szCs w:val="28"/>
        </w:rPr>
        <w:t>FICHE TECHNIQUE SUR LA PUBLICITE EXTERIEURE (T.L.P.E.)</w:t>
      </w:r>
    </w:p>
    <w:p>
      <w:pPr>
        <w:pStyle w:val="Normal"/>
        <w:spacing w:lineRule="auto" w:line="240"/>
        <w:jc w:val="both"/>
        <w:rPr>
          <w:rFonts w:ascii="Arial" w:hAnsi="Arial" w:cs="Arial"/>
          <w:b/>
          <w:b/>
          <w:sz w:val="20"/>
          <w:szCs w:val="20"/>
          <w:u w:val="single"/>
        </w:rPr>
      </w:pPr>
      <w:r>
        <w:rPr>
          <w:rFonts w:cs="Arial" w:ascii="Arial" w:hAnsi="Arial"/>
          <w:b/>
          <w:sz w:val="20"/>
          <w:szCs w:val="20"/>
          <w:u w:val="single"/>
        </w:rPr>
        <w:t xml:space="preserve">Textes de référence : </w:t>
      </w:r>
    </w:p>
    <w:p>
      <w:pPr>
        <w:pStyle w:val="ListParagraph"/>
        <w:numPr>
          <w:ilvl w:val="0"/>
          <w:numId w:val="1"/>
        </w:numPr>
        <w:spacing w:lineRule="auto" w:line="240"/>
        <w:jc w:val="both"/>
        <w:rPr>
          <w:rFonts w:ascii="Arial" w:hAnsi="Arial" w:cs="Arial"/>
          <w:sz w:val="20"/>
          <w:szCs w:val="20"/>
        </w:rPr>
      </w:pPr>
      <w:r>
        <w:rPr>
          <w:rFonts w:cs="Arial" w:ascii="Arial" w:hAnsi="Arial"/>
          <w:sz w:val="20"/>
          <w:szCs w:val="20"/>
        </w:rPr>
        <w:t>Article 171 de la loi de modernisation de l’Economie n° 2008-776 du 4 août 2008</w:t>
      </w:r>
    </w:p>
    <w:p>
      <w:pPr>
        <w:pStyle w:val="ListParagraph"/>
        <w:numPr>
          <w:ilvl w:val="0"/>
          <w:numId w:val="1"/>
        </w:numPr>
        <w:spacing w:lineRule="auto" w:line="240"/>
        <w:jc w:val="both"/>
        <w:rPr>
          <w:rFonts w:ascii="Arial" w:hAnsi="Arial" w:cs="Arial"/>
          <w:sz w:val="20"/>
          <w:szCs w:val="20"/>
        </w:rPr>
      </w:pPr>
      <w:r>
        <w:rPr>
          <w:rFonts w:cs="Arial" w:ascii="Arial" w:hAnsi="Arial"/>
          <w:sz w:val="20"/>
          <w:szCs w:val="20"/>
        </w:rPr>
        <w:t>Article L23336-6 à L2333-16 du Code Général des Collectivités Territoriales</w:t>
      </w:r>
    </w:p>
    <w:p>
      <w:pPr>
        <w:pStyle w:val="ListParagraph"/>
        <w:numPr>
          <w:ilvl w:val="0"/>
          <w:numId w:val="1"/>
        </w:numPr>
        <w:spacing w:lineRule="auto" w:line="240"/>
        <w:jc w:val="both"/>
        <w:rPr>
          <w:rFonts w:ascii="Arial" w:hAnsi="Arial" w:cs="Arial"/>
          <w:sz w:val="20"/>
          <w:szCs w:val="20"/>
        </w:rPr>
      </w:pPr>
      <w:r>
        <w:rPr>
          <w:rFonts w:cs="Arial" w:ascii="Arial" w:hAnsi="Arial"/>
          <w:sz w:val="20"/>
          <w:szCs w:val="20"/>
        </w:rPr>
        <w:t>Article L581-1 à 45 et R581-1 à 88 du Code de l’Environnement traitant de la publicité, des enseignes et des préenseignes</w:t>
      </w:r>
    </w:p>
    <w:p>
      <w:pPr>
        <w:pStyle w:val="ListParagraph"/>
        <w:numPr>
          <w:ilvl w:val="0"/>
          <w:numId w:val="1"/>
        </w:numPr>
        <w:spacing w:lineRule="auto" w:line="240"/>
        <w:jc w:val="both"/>
        <w:rPr>
          <w:rFonts w:ascii="Arial" w:hAnsi="Arial" w:cs="Arial"/>
          <w:sz w:val="20"/>
          <w:szCs w:val="20"/>
        </w:rPr>
      </w:pPr>
      <w:r>
        <w:rPr>
          <w:rFonts w:cs="Arial" w:ascii="Arial" w:hAnsi="Arial"/>
          <w:sz w:val="20"/>
          <w:szCs w:val="20"/>
        </w:rPr>
        <w:t>Article R2333-10 à R2333-17 du CGCT</w:t>
      </w:r>
    </w:p>
    <w:p>
      <w:pPr>
        <w:pStyle w:val="ListParagraph"/>
        <w:numPr>
          <w:ilvl w:val="0"/>
          <w:numId w:val="1"/>
        </w:numPr>
        <w:spacing w:lineRule="auto" w:line="240"/>
        <w:jc w:val="both"/>
        <w:rPr>
          <w:rFonts w:ascii="Arial" w:hAnsi="Arial" w:cs="Arial"/>
          <w:sz w:val="20"/>
          <w:szCs w:val="20"/>
        </w:rPr>
      </w:pPr>
      <w:r>
        <w:rPr>
          <w:rFonts w:cs="Arial" w:ascii="Arial" w:hAnsi="Arial"/>
          <w:sz w:val="20"/>
          <w:szCs w:val="20"/>
        </w:rPr>
        <w:t>Circulaires du 24 septembre 2008 sur la TLPE</w:t>
      </w:r>
    </w:p>
    <w:p>
      <w:pPr>
        <w:pStyle w:val="Normal"/>
        <w:spacing w:lineRule="auto" w:line="240"/>
        <w:jc w:val="both"/>
        <w:rPr>
          <w:rFonts w:ascii="Arial" w:hAnsi="Arial" w:cs="Arial"/>
          <w:b/>
          <w:b/>
          <w:sz w:val="20"/>
          <w:szCs w:val="20"/>
          <w:u w:val="single"/>
        </w:rPr>
      </w:pPr>
      <w:r>
        <w:rPr>
          <w:rFonts w:cs="Arial" w:ascii="Arial" w:hAnsi="Arial"/>
          <w:b/>
          <w:sz w:val="20"/>
          <w:szCs w:val="20"/>
          <w:u w:val="single"/>
        </w:rPr>
        <w:t>I – ASSIETTES DE LA TAXE</w:t>
      </w:r>
    </w:p>
    <w:p>
      <w:pPr>
        <w:pStyle w:val="Normal"/>
        <w:spacing w:lineRule="auto" w:line="240"/>
        <w:ind w:left="708" w:hanging="0"/>
        <w:jc w:val="both"/>
        <w:rPr>
          <w:rFonts w:ascii="Arial" w:hAnsi="Arial" w:cs="Arial"/>
          <w:sz w:val="20"/>
          <w:szCs w:val="20"/>
        </w:rPr>
      </w:pPr>
      <w:r>
        <w:rPr>
          <w:rFonts w:cs="Arial" w:ascii="Arial" w:hAnsi="Arial"/>
          <w:sz w:val="20"/>
          <w:szCs w:val="20"/>
        </w:rPr>
        <w:t xml:space="preserve">La loi a modifié et élargi le champ de la taxation des supports publicitaires, afin de l’adapter aux évolutions du marché de la publicité, notamment pour couvrir l’ensemble des supports nouveaux commercialisés par les sociétés d’affichage. </w:t>
      </w:r>
    </w:p>
    <w:p>
      <w:pPr>
        <w:pStyle w:val="Normal"/>
        <w:spacing w:lineRule="auto" w:line="240"/>
        <w:jc w:val="both"/>
        <w:rPr>
          <w:rFonts w:ascii="Arial" w:hAnsi="Arial" w:cs="Arial"/>
          <w:sz w:val="20"/>
          <w:szCs w:val="20"/>
        </w:rPr>
      </w:pPr>
      <w:r>
        <w:rPr>
          <w:rFonts w:cs="Arial" w:ascii="Arial" w:hAnsi="Arial"/>
          <w:sz w:val="20"/>
          <w:szCs w:val="20"/>
        </w:rPr>
        <w:t xml:space="preserve">La TLPE frappe les </w:t>
      </w:r>
      <w:r>
        <w:rPr>
          <w:rFonts w:cs="Arial" w:ascii="Arial" w:hAnsi="Arial"/>
          <w:b/>
          <w:sz w:val="20"/>
          <w:szCs w:val="20"/>
        </w:rPr>
        <w:t>supports publicitaires fixes, visibles de toute voie ouverte à la circulation publique</w:t>
      </w:r>
      <w:r>
        <w:rPr>
          <w:rFonts w:cs="Arial" w:ascii="Arial" w:hAnsi="Arial"/>
          <w:sz w:val="20"/>
          <w:szCs w:val="20"/>
        </w:rPr>
        <w:t xml:space="preserve">. </w:t>
      </w:r>
    </w:p>
    <w:p>
      <w:pPr>
        <w:pStyle w:val="Normal"/>
        <w:spacing w:lineRule="auto" w:line="240"/>
        <w:jc w:val="both"/>
        <w:rPr>
          <w:rFonts w:ascii="Arial" w:hAnsi="Arial" w:cs="Arial"/>
          <w:b/>
          <w:b/>
          <w:sz w:val="20"/>
          <w:szCs w:val="20"/>
        </w:rPr>
      </w:pPr>
      <w:r>
        <w:rPr>
          <w:rFonts w:cs="Arial" w:ascii="Arial" w:hAnsi="Arial"/>
          <w:b/>
          <w:sz w:val="20"/>
          <w:szCs w:val="20"/>
        </w:rPr>
        <w:t>A – NOTION DE VOIE OUVERTE A LA CIRCULATION DE VOIE PUBLIQUE :</w:t>
      </w:r>
    </w:p>
    <w:p>
      <w:pPr>
        <w:pStyle w:val="Normal"/>
        <w:spacing w:lineRule="auto" w:line="240"/>
        <w:ind w:left="708" w:hanging="0"/>
        <w:jc w:val="both"/>
        <w:rPr>
          <w:rFonts w:ascii="Arial" w:hAnsi="Arial" w:cs="Arial"/>
          <w:sz w:val="20"/>
          <w:szCs w:val="20"/>
        </w:rPr>
      </w:pPr>
      <w:r>
        <w:rPr>
          <w:rFonts w:cs="Arial" w:ascii="Arial" w:hAnsi="Arial"/>
          <w:sz w:val="20"/>
          <w:szCs w:val="20"/>
        </w:rPr>
        <w:t xml:space="preserve">Les supports doivent être visibles de toute voie ouverte à la circulation publique. Cette notion recouvre l’ensemble des voies, publiques ou privées, qui peuvent librement être empruntées, à titre gratuit ou non par toute personne circulant à pied ou par moyen de transport individuel ou collectif. </w:t>
      </w:r>
    </w:p>
    <w:p>
      <w:pPr>
        <w:pStyle w:val="Normal"/>
        <w:spacing w:lineRule="auto" w:line="240"/>
        <w:jc w:val="both"/>
        <w:rPr>
          <w:rFonts w:ascii="Arial" w:hAnsi="Arial" w:cs="Arial"/>
          <w:b/>
          <w:b/>
          <w:sz w:val="20"/>
          <w:szCs w:val="20"/>
        </w:rPr>
      </w:pPr>
      <w:r>
        <w:rPr>
          <w:rFonts w:cs="Arial" w:ascii="Arial" w:hAnsi="Arial"/>
          <w:b/>
          <w:sz w:val="20"/>
          <w:szCs w:val="20"/>
        </w:rPr>
        <w:t>B – SUPPORTS PUBLICITAIRES TAXABLES :</w:t>
      </w:r>
    </w:p>
    <w:p>
      <w:pPr>
        <w:pStyle w:val="Normal"/>
        <w:spacing w:lineRule="auto" w:line="240"/>
        <w:ind w:firstLine="705"/>
        <w:jc w:val="both"/>
        <w:rPr>
          <w:rFonts w:ascii="Arial" w:hAnsi="Arial" w:cs="Arial"/>
          <w:sz w:val="20"/>
          <w:szCs w:val="20"/>
        </w:rPr>
      </w:pPr>
      <w:r>
        <w:rPr>
          <w:rFonts w:cs="Arial" w:ascii="Arial" w:hAnsi="Arial"/>
          <w:sz w:val="20"/>
          <w:szCs w:val="20"/>
        </w:rPr>
        <w:t>La taxe frappe trois catégories de supports :</w:t>
      </w:r>
    </w:p>
    <w:p>
      <w:pPr>
        <w:pStyle w:val="ListParagraph"/>
        <w:numPr>
          <w:ilvl w:val="0"/>
          <w:numId w:val="1"/>
        </w:numPr>
        <w:spacing w:lineRule="auto" w:line="240"/>
        <w:jc w:val="both"/>
        <w:rPr>
          <w:rFonts w:ascii="Arial" w:hAnsi="Arial" w:cs="Arial"/>
          <w:sz w:val="20"/>
          <w:szCs w:val="20"/>
        </w:rPr>
      </w:pPr>
      <w:r>
        <w:rPr>
          <w:rFonts w:cs="Arial" w:ascii="Arial" w:hAnsi="Arial"/>
          <w:b/>
          <w:sz w:val="20"/>
          <w:szCs w:val="20"/>
          <w:u w:val="single"/>
        </w:rPr>
        <w:t>Les dispositifs publicitaires</w:t>
      </w:r>
      <w:r>
        <w:rPr>
          <w:rFonts w:cs="Arial" w:ascii="Arial" w:hAnsi="Arial"/>
          <w:sz w:val="20"/>
          <w:szCs w:val="20"/>
        </w:rPr>
        <w:t>, à savoir tout support susceptible de contenir une publicité+</w:t>
      </w:r>
    </w:p>
    <w:p>
      <w:pPr>
        <w:pStyle w:val="ListParagraph"/>
        <w:numPr>
          <w:ilvl w:val="0"/>
          <w:numId w:val="1"/>
        </w:numPr>
        <w:spacing w:lineRule="auto" w:line="240"/>
        <w:jc w:val="both"/>
        <w:rPr>
          <w:rFonts w:ascii="Arial" w:hAnsi="Arial" w:cs="Arial"/>
          <w:sz w:val="20"/>
          <w:szCs w:val="20"/>
        </w:rPr>
      </w:pPr>
      <w:r>
        <w:rPr>
          <w:rFonts w:cs="Arial" w:ascii="Arial" w:hAnsi="Arial"/>
          <w:b/>
          <w:sz w:val="20"/>
          <w:szCs w:val="20"/>
          <w:u w:val="single"/>
        </w:rPr>
        <w:t>Les enseignes,</w:t>
      </w:r>
      <w:r>
        <w:rPr>
          <w:rFonts w:cs="Arial" w:ascii="Arial" w:hAnsi="Arial"/>
          <w:sz w:val="20"/>
          <w:szCs w:val="20"/>
        </w:rPr>
        <w:t xml:space="preserve"> à savoir, toute inscription, forme ou image apposée sur un immeuble et relative à une activité qui s’y exerce, </w:t>
      </w:r>
    </w:p>
    <w:p>
      <w:pPr>
        <w:pStyle w:val="ListParagraph"/>
        <w:numPr>
          <w:ilvl w:val="0"/>
          <w:numId w:val="1"/>
        </w:numPr>
        <w:spacing w:lineRule="auto" w:line="240"/>
        <w:jc w:val="both"/>
        <w:rPr>
          <w:rFonts w:ascii="Arial" w:hAnsi="Arial" w:cs="Arial"/>
          <w:sz w:val="20"/>
          <w:szCs w:val="20"/>
        </w:rPr>
      </w:pPr>
      <w:r>
        <w:rPr>
          <w:rFonts w:cs="Arial" w:ascii="Arial" w:hAnsi="Arial"/>
          <w:b/>
          <w:sz w:val="20"/>
          <w:szCs w:val="20"/>
          <w:u w:val="single"/>
        </w:rPr>
        <w:t>Les préenseignes</w:t>
      </w:r>
      <w:r>
        <w:rPr>
          <w:rFonts w:cs="Arial" w:ascii="Arial" w:hAnsi="Arial"/>
          <w:sz w:val="20"/>
          <w:szCs w:val="20"/>
        </w:rPr>
        <w:t xml:space="preserve">, à savoir toute inscription, forme ou image indiquant la proximité d’un immeuble où s’exerce une activité déterminée. </w:t>
      </w:r>
    </w:p>
    <w:p>
      <w:pPr>
        <w:pStyle w:val="ListParagraph"/>
        <w:spacing w:lineRule="auto" w:line="240"/>
        <w:ind w:left="1065" w:hanging="0"/>
        <w:jc w:val="both"/>
        <w:rPr>
          <w:rFonts w:ascii="Arial" w:hAnsi="Arial" w:cs="Arial"/>
          <w:sz w:val="20"/>
          <w:szCs w:val="20"/>
        </w:rPr>
      </w:pPr>
      <w:r>
        <w:rPr>
          <w:rFonts w:cs="Arial" w:ascii="Arial" w:hAnsi="Arial"/>
          <w:sz w:val="20"/>
          <w:szCs w:val="20"/>
        </w:rPr>
        <w:t xml:space="preserve">*constitue </w:t>
      </w:r>
      <w:r>
        <w:rPr>
          <w:rFonts w:cs="Arial" w:ascii="Arial" w:hAnsi="Arial"/>
          <w:b/>
          <w:sz w:val="20"/>
          <w:szCs w:val="20"/>
        </w:rPr>
        <w:t>une publicité</w:t>
      </w:r>
      <w:r>
        <w:rPr>
          <w:rFonts w:cs="Arial" w:ascii="Arial" w:hAnsi="Arial"/>
          <w:sz w:val="20"/>
          <w:szCs w:val="20"/>
        </w:rPr>
        <w:t xml:space="preserve"> (artL581-3 C.E.) à l’exclusion des enseignes et préenseignes, toute </w:t>
      </w:r>
      <w:r>
        <w:rPr>
          <w:rFonts w:cs="Arial" w:ascii="Arial" w:hAnsi="Arial"/>
          <w:b/>
          <w:sz w:val="20"/>
          <w:szCs w:val="20"/>
        </w:rPr>
        <w:t>inscription, forme ou image,</w:t>
      </w:r>
      <w:r>
        <w:rPr>
          <w:rFonts w:cs="Arial" w:ascii="Arial" w:hAnsi="Arial"/>
          <w:sz w:val="20"/>
          <w:szCs w:val="20"/>
        </w:rPr>
        <w:t xml:space="preserve"> destinée </w:t>
      </w:r>
      <w:r>
        <w:rPr>
          <w:rFonts w:cs="Arial" w:ascii="Arial" w:hAnsi="Arial"/>
          <w:b/>
          <w:sz w:val="20"/>
          <w:szCs w:val="20"/>
        </w:rPr>
        <w:t>à informer le public</w:t>
      </w:r>
      <w:r>
        <w:rPr>
          <w:rFonts w:cs="Arial" w:ascii="Arial" w:hAnsi="Arial"/>
          <w:sz w:val="20"/>
          <w:szCs w:val="20"/>
        </w:rPr>
        <w:t xml:space="preserve"> ou </w:t>
      </w:r>
      <w:r>
        <w:rPr>
          <w:rFonts w:cs="Arial" w:ascii="Arial" w:hAnsi="Arial"/>
          <w:b/>
          <w:sz w:val="20"/>
          <w:szCs w:val="20"/>
        </w:rPr>
        <w:t>attirer son attention ; les dispositifs</w:t>
      </w:r>
      <w:r>
        <w:rPr>
          <w:rFonts w:cs="Arial" w:ascii="Arial" w:hAnsi="Arial"/>
          <w:sz w:val="20"/>
          <w:szCs w:val="20"/>
        </w:rPr>
        <w:t xml:space="preserve"> dont </w:t>
      </w:r>
      <w:r>
        <w:rPr>
          <w:rFonts w:cs="Arial" w:ascii="Arial" w:hAnsi="Arial"/>
          <w:b/>
          <w:sz w:val="20"/>
          <w:szCs w:val="20"/>
        </w:rPr>
        <w:t>le principal objet</w:t>
      </w:r>
      <w:r>
        <w:rPr>
          <w:rFonts w:cs="Arial" w:ascii="Arial" w:hAnsi="Arial"/>
          <w:sz w:val="20"/>
          <w:szCs w:val="20"/>
        </w:rPr>
        <w:t xml:space="preserve"> est de </w:t>
      </w:r>
      <w:r>
        <w:rPr>
          <w:rFonts w:cs="Arial" w:ascii="Arial" w:hAnsi="Arial"/>
          <w:b/>
          <w:sz w:val="20"/>
          <w:szCs w:val="20"/>
        </w:rPr>
        <w:t>recevoir</w:t>
      </w:r>
      <w:r>
        <w:rPr>
          <w:rFonts w:cs="Arial" w:ascii="Arial" w:hAnsi="Arial"/>
          <w:sz w:val="20"/>
          <w:szCs w:val="20"/>
        </w:rPr>
        <w:t xml:space="preserve"> les dites inscriptions, formes ou images sont assimilées à des publicités. </w:t>
      </w:r>
    </w:p>
    <w:p>
      <w:pPr>
        <w:pStyle w:val="Normal"/>
        <w:spacing w:lineRule="auto" w:line="240"/>
        <w:ind w:left="708" w:hanging="0"/>
        <w:jc w:val="both"/>
        <w:rPr>
          <w:rFonts w:ascii="Arial" w:hAnsi="Arial" w:cs="Arial"/>
          <w:sz w:val="20"/>
          <w:szCs w:val="20"/>
        </w:rPr>
      </w:pPr>
      <w:r>
        <w:rPr>
          <w:rFonts w:cs="Arial" w:ascii="Arial" w:hAnsi="Arial"/>
          <w:sz w:val="20"/>
          <w:szCs w:val="20"/>
        </w:rPr>
        <w:t xml:space="preserve">A compter du 13 juillet 2015, seules sont autorisées à se signaler par des préenseignes dérogatoires les activités en relation avec la fabrication ou la vente de produits du terroir, les activités culturelles ainsi que les monuments classés ou inscrits au titres des monuments historiques ouverts à la visite, ainsi que à titre temporaire, les opérations et manifestations exceptionnelles mentionnées à l’article L581-20 du code de l’environnement. </w:t>
      </w:r>
    </w:p>
    <w:p>
      <w:pPr>
        <w:pStyle w:val="Normal"/>
        <w:spacing w:lineRule="auto" w:line="240"/>
        <w:ind w:left="708" w:hanging="0"/>
        <w:jc w:val="both"/>
        <w:rPr>
          <w:rFonts w:ascii="Arial" w:hAnsi="Arial" w:cs="Arial"/>
          <w:sz w:val="20"/>
          <w:szCs w:val="20"/>
        </w:rPr>
      </w:pPr>
      <w:r>
        <w:rPr>
          <w:rFonts w:cs="Arial" w:ascii="Arial" w:hAnsi="Arial"/>
          <w:sz w:val="20"/>
          <w:szCs w:val="20"/>
        </w:rPr>
        <w:t xml:space="preserve">Les préenseignes dérogatoires scellées au sol ne peuvent plus être implantées en agglomération de moins de 10 000 habitants. Les préenseignes dérogatoires signalant des activités particulièrement utiles pour les personnes en  déplacement ne seront plus autorisées hors agglomération et devront être déposées </w:t>
      </w:r>
    </w:p>
    <w:p>
      <w:pPr>
        <w:pStyle w:val="Normal"/>
        <w:spacing w:lineRule="auto" w:line="240"/>
        <w:ind w:left="708" w:hanging="0"/>
        <w:jc w:val="both"/>
        <w:rPr>
          <w:rFonts w:ascii="Arial" w:hAnsi="Arial" w:cs="Arial"/>
          <w:sz w:val="20"/>
          <w:szCs w:val="20"/>
        </w:rPr>
      </w:pPr>
      <w:r>
        <w:rPr>
          <w:rFonts w:cs="Arial" w:ascii="Arial" w:hAnsi="Arial"/>
          <w:sz w:val="20"/>
          <w:szCs w:val="20"/>
        </w:rPr>
        <w:t xml:space="preserve">De plus, depuis cette date, les formats sont réduits de 12 m² à 4 m² pour tout dispositif installé dans une commune de moins de 10 000 habitants et n’appartenant pas à une unité urbaine de 100 000 habitants. La commune de Bandol est dans la communauté urbaine de Toulon. </w:t>
      </w:r>
    </w:p>
    <w:p>
      <w:pPr>
        <w:pStyle w:val="Normal"/>
        <w:spacing w:lineRule="auto" w:line="240"/>
        <w:jc w:val="both"/>
        <w:rPr>
          <w:rFonts w:ascii="Arial" w:hAnsi="Arial" w:cs="Arial"/>
          <w:b/>
          <w:b/>
          <w:sz w:val="20"/>
          <w:szCs w:val="20"/>
        </w:rPr>
      </w:pPr>
      <w:r>
        <w:rPr>
          <w:rFonts w:cs="Arial" w:ascii="Arial" w:hAnsi="Arial"/>
          <w:b/>
          <w:sz w:val="20"/>
          <w:szCs w:val="20"/>
        </w:rPr>
        <w:t>C- SUPERFICIE TAXABLE :</w:t>
      </w:r>
    </w:p>
    <w:p>
      <w:pPr>
        <w:pStyle w:val="Normal"/>
        <w:spacing w:lineRule="auto" w:line="240"/>
        <w:ind w:left="708" w:hanging="0"/>
        <w:jc w:val="both"/>
        <w:rPr>
          <w:rFonts w:ascii="Arial" w:hAnsi="Arial" w:cs="Arial"/>
          <w:sz w:val="20"/>
          <w:szCs w:val="20"/>
        </w:rPr>
      </w:pPr>
      <w:r>
        <w:rPr>
          <w:rFonts w:cs="Arial" w:ascii="Arial" w:hAnsi="Arial"/>
          <w:sz w:val="20"/>
          <w:szCs w:val="20"/>
        </w:rPr>
        <w:t>Les tarifs de la taxe s’appliquent, par m² et par an, à la superficie «utile » des supports taxables à savoir, la superficie effectivement utilisable, à l’exclusion de l’encadrement du support.</w:t>
      </w:r>
    </w:p>
    <w:p>
      <w:pPr>
        <w:pStyle w:val="Normal"/>
        <w:spacing w:lineRule="auto" w:line="240"/>
        <w:ind w:left="708" w:hanging="0"/>
        <w:jc w:val="both"/>
        <w:rPr>
          <w:rFonts w:ascii="Arial" w:hAnsi="Arial" w:cs="Arial"/>
          <w:sz w:val="20"/>
          <w:szCs w:val="20"/>
        </w:rPr>
      </w:pPr>
      <w:r>
        <w:rPr>
          <w:rFonts w:cs="Arial" w:ascii="Arial" w:hAnsi="Arial"/>
          <w:sz w:val="20"/>
          <w:szCs w:val="20"/>
        </w:rPr>
        <w:t>Exemple : une superficie de 12.8 m² taxable à ne tarif t donnera un produit P = 12.8 x t</w:t>
      </w:r>
    </w:p>
    <w:p>
      <w:pPr>
        <w:pStyle w:val="Normal"/>
        <w:spacing w:lineRule="auto" w:line="240"/>
        <w:ind w:left="708" w:hanging="0"/>
        <w:jc w:val="both"/>
        <w:rPr>
          <w:rFonts w:ascii="Arial" w:hAnsi="Arial" w:cs="Arial"/>
          <w:b/>
          <w:b/>
          <w:sz w:val="20"/>
          <w:szCs w:val="20"/>
        </w:rPr>
      </w:pPr>
      <w:r>
        <w:rPr>
          <w:rFonts w:cs="Arial" w:ascii="Arial" w:hAnsi="Arial"/>
          <w:b/>
          <w:sz w:val="20"/>
          <w:szCs w:val="20"/>
        </w:rPr>
        <w:t>La superficie imposable est celle du rectangle formé par les points extrêmes de l’inscription, forme ou image.</w:t>
      </w:r>
    </w:p>
    <w:p>
      <w:pPr>
        <w:pStyle w:val="Normal"/>
        <w:spacing w:lineRule="auto" w:line="240"/>
        <w:ind w:left="708" w:hanging="0"/>
        <w:jc w:val="both"/>
        <w:rPr>
          <w:rFonts w:ascii="Arial" w:hAnsi="Arial" w:cs="Arial"/>
          <w:sz w:val="20"/>
          <w:szCs w:val="20"/>
        </w:rPr>
      </w:pPr>
      <w:r>
        <w:rPr>
          <w:rFonts w:cs="Arial" w:ascii="Arial" w:hAnsi="Arial"/>
          <w:sz w:val="20"/>
          <w:szCs w:val="20"/>
        </w:rPr>
        <w:t xml:space="preserve">Lorsque les surfaces obtenues sont des nombres avec deux chiffres après la virgule, elles sont arrondies, pour le calcul du produit au dixième de m², les fractions de m² inférieures à 0.05 m² étant négligées et celles égales ou supérieures à 0.05 m² étant comptées pour 0.1 m². </w:t>
      </w:r>
    </w:p>
    <w:p>
      <w:pPr>
        <w:pStyle w:val="Normal"/>
        <w:spacing w:lineRule="auto" w:line="240"/>
        <w:ind w:left="708" w:hanging="0"/>
        <w:jc w:val="both"/>
        <w:rPr>
          <w:rFonts w:ascii="Arial" w:hAnsi="Arial" w:cs="Arial"/>
          <w:sz w:val="20"/>
          <w:szCs w:val="20"/>
        </w:rPr>
      </w:pPr>
      <w:r>
        <w:rPr>
          <w:rFonts w:cs="Arial" w:ascii="Arial" w:hAnsi="Arial"/>
          <w:sz w:val="20"/>
          <w:szCs w:val="20"/>
          <w:u w:val="single"/>
        </w:rPr>
        <w:t>On distingue les supports publicitaires selon qu’ils sont ou non numériques</w:t>
      </w:r>
      <w:r>
        <w:rPr>
          <w:rFonts w:cs="Arial" w:ascii="Arial" w:hAnsi="Arial"/>
          <w:sz w:val="20"/>
          <w:szCs w:val="20"/>
        </w:rPr>
        <w:t xml:space="preserve">. La notion de support numérique n’est juridique mais technique. Elle recouvre l’ensemble des supports recourant à des techniques de type diodes électroluminescentes, écrans cathodiques, écrans à plasma et autres, qui permettent d’afficher et de modifier à volonté des images ou des textes. </w:t>
      </w:r>
    </w:p>
    <w:p>
      <w:pPr>
        <w:pStyle w:val="Normal"/>
        <w:spacing w:lineRule="auto" w:line="240"/>
        <w:ind w:left="708" w:hanging="0"/>
        <w:jc w:val="both"/>
        <w:rPr>
          <w:rFonts w:ascii="Arial" w:hAnsi="Arial" w:cs="Arial"/>
          <w:sz w:val="20"/>
          <w:szCs w:val="20"/>
        </w:rPr>
      </w:pPr>
      <w:r>
        <w:rPr>
          <w:rFonts w:cs="Arial" w:ascii="Arial" w:hAnsi="Arial"/>
          <w:sz w:val="20"/>
          <w:szCs w:val="20"/>
          <w:u w:val="single"/>
        </w:rPr>
        <w:t>Pour les supports non numériques, la taxation se fait par face.</w:t>
      </w:r>
      <w:r>
        <w:rPr>
          <w:rFonts w:cs="Arial" w:ascii="Arial" w:hAnsi="Arial"/>
          <w:sz w:val="20"/>
          <w:szCs w:val="20"/>
        </w:rPr>
        <w:t xml:space="preserve"> Lorsqu’un support non numérique permet de montrer successivement plusieurs affiches, la superficie taxable est multipliée par le nombre d’affiches effectivement contenues dans le rapport. </w:t>
      </w:r>
    </w:p>
    <w:p>
      <w:pPr>
        <w:pStyle w:val="Normal"/>
        <w:pBdr>
          <w:top w:val="single" w:sz="4" w:space="1" w:color="000000"/>
          <w:left w:val="single" w:sz="4" w:space="4" w:color="000000"/>
          <w:bottom w:val="single" w:sz="4" w:space="1" w:color="000000"/>
          <w:right w:val="single" w:sz="4" w:space="4" w:color="000000"/>
        </w:pBdr>
        <w:spacing w:lineRule="auto" w:line="240" w:before="0" w:after="0"/>
        <w:jc w:val="both"/>
        <w:rPr>
          <w:rFonts w:ascii="Arial" w:hAnsi="Arial" w:cs="Arial"/>
          <w:sz w:val="20"/>
          <w:szCs w:val="20"/>
        </w:rPr>
      </w:pPr>
      <w:r>
        <w:rPr>
          <w:rFonts w:cs="Arial" w:ascii="Arial" w:hAnsi="Arial"/>
          <w:b/>
          <w:sz w:val="20"/>
          <w:szCs w:val="20"/>
        </w:rPr>
        <w:t>Important :</w:t>
      </w:r>
      <w:r>
        <w:rPr>
          <w:rFonts w:cs="Arial" w:ascii="Arial" w:hAnsi="Arial"/>
          <w:sz w:val="20"/>
          <w:szCs w:val="20"/>
        </w:rPr>
        <w:t xml:space="preserve"> il conviendra donc dans les déclarations annuelles de désigner précisément la nature des dispositifs publicitaires concernés :</w:t>
      </w:r>
    </w:p>
    <w:p>
      <w:pPr>
        <w:pStyle w:val="Normal"/>
        <w:pBdr>
          <w:top w:val="single" w:sz="4" w:space="1" w:color="000000"/>
          <w:left w:val="single" w:sz="4" w:space="4" w:color="000000"/>
          <w:bottom w:val="single" w:sz="4" w:space="1" w:color="000000"/>
          <w:right w:val="single" w:sz="4" w:space="4" w:color="000000"/>
        </w:pBdr>
        <w:spacing w:lineRule="auto" w:line="240" w:before="0" w:after="0"/>
        <w:ind w:firstLine="708"/>
        <w:jc w:val="both"/>
        <w:rPr>
          <w:rFonts w:ascii="Arial" w:hAnsi="Arial" w:cs="Arial"/>
          <w:sz w:val="20"/>
          <w:szCs w:val="20"/>
        </w:rPr>
      </w:pPr>
      <w:r>
        <w:rPr>
          <w:rFonts w:cs="Arial" w:ascii="Arial" w:hAnsi="Arial"/>
          <w:sz w:val="20"/>
          <w:szCs w:val="20"/>
        </w:rPr>
        <w:t>* Dispositifs publicitaires non numériques</w:t>
      </w:r>
    </w:p>
    <w:p>
      <w:pPr>
        <w:pStyle w:val="Normal"/>
        <w:pBdr>
          <w:top w:val="single" w:sz="4" w:space="1" w:color="000000"/>
          <w:left w:val="single" w:sz="4" w:space="4" w:color="000000"/>
          <w:bottom w:val="single" w:sz="4" w:space="1" w:color="000000"/>
          <w:right w:val="single" w:sz="4" w:space="4" w:color="000000"/>
        </w:pBdr>
        <w:spacing w:lineRule="auto" w:line="240" w:before="0" w:after="0"/>
        <w:ind w:firstLine="708"/>
        <w:jc w:val="both"/>
        <w:rPr>
          <w:rFonts w:ascii="Arial" w:hAnsi="Arial" w:cs="Arial"/>
          <w:sz w:val="20"/>
          <w:szCs w:val="20"/>
        </w:rPr>
      </w:pPr>
      <w:r>
        <w:rPr>
          <w:rFonts w:cs="Arial" w:ascii="Arial" w:hAnsi="Arial"/>
          <w:sz w:val="20"/>
          <w:szCs w:val="20"/>
        </w:rPr>
        <w:t>* Dispositifs publicitaires numériques</w:t>
      </w:r>
    </w:p>
    <w:p>
      <w:pPr>
        <w:pStyle w:val="Normal"/>
        <w:pBdr>
          <w:top w:val="single" w:sz="4" w:space="1" w:color="000000"/>
          <w:left w:val="single" w:sz="4" w:space="4" w:color="000000"/>
          <w:bottom w:val="single" w:sz="4" w:space="1" w:color="000000"/>
          <w:right w:val="single" w:sz="4" w:space="4" w:color="000000"/>
        </w:pBdr>
        <w:spacing w:lineRule="auto" w:line="240" w:before="0" w:after="0"/>
        <w:ind w:firstLine="708"/>
        <w:jc w:val="both"/>
        <w:rPr>
          <w:rFonts w:ascii="Arial" w:hAnsi="Arial" w:cs="Arial"/>
          <w:sz w:val="20"/>
          <w:szCs w:val="20"/>
        </w:rPr>
      </w:pPr>
      <w:r>
        <w:rPr>
          <w:rFonts w:cs="Arial" w:ascii="Arial" w:hAnsi="Arial"/>
          <w:sz w:val="20"/>
          <w:szCs w:val="20"/>
        </w:rPr>
        <w:t>* Préenseignes non numériques</w:t>
      </w:r>
    </w:p>
    <w:p>
      <w:pPr>
        <w:pStyle w:val="Normal"/>
        <w:pBdr>
          <w:top w:val="single" w:sz="4" w:space="1" w:color="000000"/>
          <w:left w:val="single" w:sz="4" w:space="4" w:color="000000"/>
          <w:bottom w:val="single" w:sz="4" w:space="1" w:color="000000"/>
          <w:right w:val="single" w:sz="4" w:space="4" w:color="000000"/>
        </w:pBdr>
        <w:spacing w:lineRule="auto" w:line="240" w:before="0" w:after="0"/>
        <w:ind w:firstLine="708"/>
        <w:jc w:val="both"/>
        <w:rPr>
          <w:rFonts w:ascii="Arial" w:hAnsi="Arial" w:cs="Arial"/>
          <w:sz w:val="20"/>
          <w:szCs w:val="20"/>
        </w:rPr>
      </w:pPr>
      <w:r>
        <w:rPr>
          <w:rFonts w:cs="Arial" w:ascii="Arial" w:hAnsi="Arial"/>
          <w:sz w:val="20"/>
          <w:szCs w:val="20"/>
        </w:rPr>
        <w:t>* Enseignes</w:t>
      </w:r>
    </w:p>
    <w:p>
      <w:pPr>
        <w:pStyle w:val="Normal"/>
        <w:jc w:val="both"/>
        <w:rPr/>
      </w:pPr>
      <w:r>
        <w:rPr/>
        <w:drawing>
          <wp:inline distT="0" distB="0" distL="0" distR="0">
            <wp:extent cx="6741795" cy="3051175"/>
            <wp:effectExtent l="0" t="0" r="0" b="0"/>
            <wp:docPr id="1"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
                    <pic:cNvPicPr>
                      <a:picLocks noChangeAspect="1" noChangeArrowheads="1"/>
                    </pic:cNvPicPr>
                  </pic:nvPicPr>
                  <pic:blipFill>
                    <a:blip r:embed="rId2"/>
                    <a:stretch>
                      <a:fillRect/>
                    </a:stretch>
                  </pic:blipFill>
                  <pic:spPr bwMode="auto">
                    <a:xfrm>
                      <a:off x="0" y="0"/>
                      <a:ext cx="6741795" cy="3051175"/>
                    </a:xfrm>
                    <a:prstGeom prst="rect">
                      <a:avLst/>
                    </a:prstGeom>
                  </pic:spPr>
                </pic:pic>
              </a:graphicData>
            </a:graphic>
          </wp:inline>
        </w:drawing>
      </w:r>
    </w:p>
    <w:p>
      <w:pPr>
        <w:pStyle w:val="Normal"/>
        <w:spacing w:before="0" w:after="0"/>
        <w:jc w:val="both"/>
        <w:rPr>
          <w:rFonts w:ascii="Arial" w:hAnsi="Arial" w:cs="Arial"/>
          <w:b/>
          <w:b/>
          <w:sz w:val="20"/>
          <w:szCs w:val="20"/>
          <w:u w:val="single"/>
        </w:rPr>
      </w:pPr>
      <w:r>
        <w:rPr>
          <w:rFonts w:cs="Arial" w:ascii="Arial" w:hAnsi="Arial"/>
          <w:b/>
          <w:sz w:val="20"/>
          <w:szCs w:val="20"/>
          <w:u w:val="single"/>
        </w:rPr>
        <w:t xml:space="preserve">II – TARIFS DE LA TAXE     </w:t>
      </w:r>
      <w:r>
        <w:rPr>
          <w:rFonts w:cs="Arial" w:ascii="Arial" w:hAnsi="Arial"/>
          <w:b/>
          <w:sz w:val="20"/>
          <w:szCs w:val="20"/>
          <w:u w:val="single"/>
        </w:rPr>
        <w:t xml:space="preserve">règle générale : </w:t>
      </w:r>
    </w:p>
    <w:p>
      <w:pPr>
        <w:pStyle w:val="Normal"/>
        <w:spacing w:before="0" w:after="0"/>
        <w:ind w:left="708" w:hanging="0"/>
        <w:jc w:val="both"/>
        <w:rPr>
          <w:rFonts w:ascii="Arial" w:hAnsi="Arial" w:cs="Arial"/>
          <w:sz w:val="20"/>
          <w:szCs w:val="20"/>
        </w:rPr>
      </w:pPr>
      <w:r>
        <w:rPr>
          <w:rFonts w:cs="Arial" w:ascii="Arial" w:hAnsi="Arial"/>
          <w:sz w:val="20"/>
          <w:szCs w:val="20"/>
        </w:rPr>
        <w:t>Des tarifs maximaux de droit comm</w:t>
      </w:r>
      <w:bookmarkStart w:id="0" w:name="_GoBack"/>
      <w:bookmarkEnd w:id="0"/>
      <w:r>
        <w:rPr>
          <w:rFonts w:cs="Arial" w:ascii="Arial" w:hAnsi="Arial"/>
          <w:sz w:val="20"/>
          <w:szCs w:val="20"/>
        </w:rPr>
        <w:t xml:space="preserve">un applicables chaque année sont fixés par décret du ministère de l’intérieur. Le niveau de ces tarifs varie selon la nature du support taxé (numérique ou non) et la taille de la collectivité. </w:t>
      </w:r>
    </w:p>
    <w:p>
      <w:pPr>
        <w:pStyle w:val="Normal"/>
        <w:spacing w:before="0" w:after="0"/>
        <w:ind w:left="708" w:hanging="0"/>
        <w:jc w:val="both"/>
        <w:rPr>
          <w:rFonts w:ascii="Arial" w:hAnsi="Arial" w:cs="Arial"/>
          <w:sz w:val="20"/>
          <w:szCs w:val="20"/>
        </w:rPr>
      </w:pPr>
      <w:r>
        <w:rPr>
          <w:rFonts w:cs="Arial" w:ascii="Arial" w:hAnsi="Arial"/>
          <w:sz w:val="20"/>
          <w:szCs w:val="20"/>
        </w:rPr>
        <w:t xml:space="preserve">Les tarifs, tous les ans font l’objet d’une indexation sur le taux d’évolution de l’inflation et ne pourront augmenter de plus de 5 € au m² d’une année sur l’autre. </w:t>
      </w:r>
    </w:p>
    <w:p>
      <w:pPr>
        <w:pStyle w:val="Normal"/>
        <w:spacing w:before="0" w:after="0"/>
        <w:jc w:val="both"/>
        <w:rPr>
          <w:rFonts w:ascii="Arial" w:hAnsi="Arial" w:cs="Arial"/>
          <w:sz w:val="20"/>
          <w:szCs w:val="20"/>
        </w:rPr>
      </w:pPr>
      <w:r>
        <w:rPr>
          <w:rFonts w:cs="Arial" w:ascii="Arial" w:hAnsi="Arial"/>
          <w:sz w:val="20"/>
          <w:szCs w:val="20"/>
        </w:rPr>
      </w:r>
    </w:p>
    <w:p>
      <w:pPr>
        <w:pStyle w:val="Normal"/>
        <w:spacing w:before="0" w:after="0"/>
        <w:jc w:val="both"/>
        <w:rPr>
          <w:rFonts w:ascii="Arial" w:hAnsi="Arial"/>
          <w:sz w:val="18"/>
          <w:szCs w:val="18"/>
        </w:rPr>
      </w:pPr>
      <w:r>
        <w:rPr>
          <w:rFonts w:cs="Arial" w:ascii="Arial" w:hAnsi="Arial"/>
          <w:sz w:val="18"/>
          <w:szCs w:val="18"/>
        </w:rPr>
        <w:t>MONTANT MAXIMAUX DE LA TLPE (en euros par m² et par an) pour les communes de moins de 49 999 habitants</w:t>
      </w:r>
      <w:r>
        <w:rPr>
          <w:rFonts w:ascii="Arial" w:hAnsi="Arial"/>
          <w:sz w:val="18"/>
          <w:szCs w:val="18"/>
        </w:rPr>
        <w:t> :</w:t>
      </w:r>
    </w:p>
    <w:tbl>
      <w:tblPr>
        <w:tblStyle w:val="Grilledutableau"/>
        <w:tblW w:w="1019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402"/>
        <w:gridCol w:w="3397"/>
        <w:gridCol w:w="3396"/>
      </w:tblGrid>
      <w:tr>
        <w:trPr/>
        <w:tc>
          <w:tcPr>
            <w:tcW w:w="3402" w:type="dxa"/>
            <w:tcBorders/>
          </w:tcPr>
          <w:p>
            <w:pPr>
              <w:pStyle w:val="Normal"/>
              <w:widowControl/>
              <w:spacing w:lineRule="auto" w:line="240" w:before="0" w:after="0"/>
              <w:jc w:val="both"/>
              <w:rPr>
                <w:rFonts w:ascii="Calibri" w:hAnsi="Calibri" w:eastAsia="Calibri" w:cs=""/>
                <w:kern w:val="0"/>
                <w:sz w:val="22"/>
                <w:szCs w:val="22"/>
                <w:lang w:val="fr-FR" w:eastAsia="en-US" w:bidi="ar-SA"/>
              </w:rPr>
            </w:pPr>
            <w:r>
              <w:rPr>
                <w:rFonts w:eastAsia="Calibri" w:cs=""/>
                <w:kern w:val="0"/>
                <w:sz w:val="22"/>
                <w:szCs w:val="22"/>
                <w:lang w:val="fr-FR" w:eastAsia="en-US" w:bidi="ar-SA"/>
              </w:rPr>
            </w:r>
          </w:p>
        </w:tc>
        <w:tc>
          <w:tcPr>
            <w:tcW w:w="3397" w:type="dxa"/>
            <w:tcBorders/>
          </w:tcPr>
          <w:p>
            <w:pPr>
              <w:pStyle w:val="Normal"/>
              <w:widowControl/>
              <w:spacing w:lineRule="auto" w:line="240" w:before="0" w:after="0"/>
              <w:jc w:val="center"/>
              <w:rPr>
                <w:rFonts w:ascii="Calibri" w:hAnsi="Calibri" w:eastAsia="Calibri" w:cs=""/>
                <w:kern w:val="0"/>
                <w:sz w:val="22"/>
                <w:szCs w:val="22"/>
                <w:lang w:val="fr-FR" w:eastAsia="en-US" w:bidi="ar-SA"/>
              </w:rPr>
            </w:pPr>
            <w:r>
              <w:rPr>
                <w:rFonts w:eastAsia="Calibri" w:cs=""/>
                <w:kern w:val="0"/>
                <w:sz w:val="22"/>
                <w:szCs w:val="22"/>
                <w:lang w:val="fr-FR" w:eastAsia="en-US" w:bidi="ar-SA"/>
              </w:rPr>
              <w:t>EN 20</w:t>
            </w:r>
            <w:r>
              <w:rPr>
                <w:rFonts w:eastAsia="Calibri" w:cs=""/>
                <w:kern w:val="0"/>
                <w:sz w:val="22"/>
                <w:szCs w:val="22"/>
                <w:lang w:val="fr-FR" w:eastAsia="en-US" w:bidi="ar-SA"/>
              </w:rPr>
              <w:t>20</w:t>
            </w:r>
          </w:p>
        </w:tc>
        <w:tc>
          <w:tcPr>
            <w:tcW w:w="3396" w:type="dxa"/>
            <w:tcBorders/>
          </w:tcPr>
          <w:p>
            <w:pPr>
              <w:pStyle w:val="Normal"/>
              <w:widowControl/>
              <w:spacing w:lineRule="auto" w:line="240" w:before="0" w:after="0"/>
              <w:jc w:val="center"/>
              <w:rPr>
                <w:rFonts w:ascii="Calibri" w:hAnsi="Calibri" w:eastAsia="Calibri" w:cs=""/>
                <w:kern w:val="0"/>
                <w:sz w:val="22"/>
                <w:szCs w:val="22"/>
                <w:lang w:val="fr-FR" w:eastAsia="en-US" w:bidi="ar-SA"/>
              </w:rPr>
            </w:pPr>
            <w:r>
              <w:rPr>
                <w:rFonts w:eastAsia="Calibri" w:cs=""/>
                <w:kern w:val="0"/>
                <w:sz w:val="22"/>
                <w:szCs w:val="22"/>
                <w:lang w:val="fr-FR" w:eastAsia="en-US" w:bidi="ar-SA"/>
              </w:rPr>
              <w:t>EN 20</w:t>
            </w:r>
            <w:r>
              <w:rPr>
                <w:rFonts w:eastAsia="Calibri" w:cs=""/>
                <w:kern w:val="0"/>
                <w:sz w:val="22"/>
                <w:szCs w:val="22"/>
                <w:lang w:val="fr-FR" w:eastAsia="en-US" w:bidi="ar-SA"/>
              </w:rPr>
              <w:t>21</w:t>
            </w:r>
            <w:r>
              <w:rPr>
                <w:rFonts w:eastAsia="Calibri" w:cs=""/>
                <w:kern w:val="0"/>
                <w:sz w:val="22"/>
                <w:szCs w:val="22"/>
                <w:lang w:val="fr-FR" w:eastAsia="en-US" w:bidi="ar-SA"/>
              </w:rPr>
              <w:t xml:space="preserve"> </w:t>
            </w:r>
          </w:p>
        </w:tc>
      </w:tr>
      <w:tr>
        <w:trPr/>
        <w:tc>
          <w:tcPr>
            <w:tcW w:w="3402" w:type="dxa"/>
            <w:tcBorders/>
          </w:tcPr>
          <w:p>
            <w:pPr>
              <w:pStyle w:val="Normal"/>
              <w:widowControl/>
              <w:spacing w:lineRule="auto" w:line="240" w:before="0" w:after="0"/>
              <w:jc w:val="both"/>
              <w:rPr>
                <w:sz w:val="16"/>
                <w:szCs w:val="16"/>
              </w:rPr>
            </w:pPr>
            <w:r>
              <w:rPr>
                <w:rFonts w:eastAsia="Calibri" w:cs=""/>
                <w:kern w:val="0"/>
                <w:sz w:val="16"/>
                <w:szCs w:val="16"/>
                <w:lang w:val="fr-FR" w:eastAsia="en-US" w:bidi="ar-SA"/>
              </w:rPr>
              <w:t>Dispositifs publicitaires et préenseignes non numériques de moins de 50 m²</w:t>
            </w:r>
          </w:p>
        </w:tc>
        <w:tc>
          <w:tcPr>
            <w:tcW w:w="3397" w:type="dxa"/>
            <w:tcBorders/>
          </w:tcPr>
          <w:p>
            <w:pPr>
              <w:pStyle w:val="Normal"/>
              <w:widowControl/>
              <w:spacing w:lineRule="auto" w:line="240" w:before="0" w:after="0"/>
              <w:jc w:val="center"/>
              <w:rPr/>
            </w:pPr>
            <w:r>
              <w:rPr>
                <w:rFonts w:eastAsia="Calibri" w:cs=""/>
                <w:kern w:val="0"/>
                <w:sz w:val="22"/>
                <w:szCs w:val="22"/>
                <w:lang w:val="fr-FR" w:eastAsia="en-US" w:bidi="ar-SA"/>
              </w:rPr>
              <w:t>1</w:t>
            </w:r>
            <w:r>
              <w:rPr>
                <w:rFonts w:eastAsia="Calibri" w:cs=""/>
                <w:kern w:val="0"/>
                <w:sz w:val="22"/>
                <w:szCs w:val="22"/>
                <w:lang w:val="fr-FR" w:eastAsia="en-US" w:bidi="ar-SA"/>
              </w:rPr>
              <w:t>6,00</w:t>
            </w:r>
            <w:r>
              <w:rPr>
                <w:rFonts w:eastAsia="Calibri" w:cs=""/>
                <w:kern w:val="0"/>
                <w:sz w:val="22"/>
                <w:szCs w:val="22"/>
                <w:lang w:val="fr-FR" w:eastAsia="en-US" w:bidi="ar-SA"/>
              </w:rPr>
              <w:t xml:space="preserve"> €</w:t>
            </w:r>
          </w:p>
        </w:tc>
        <w:tc>
          <w:tcPr>
            <w:tcW w:w="3396" w:type="dxa"/>
            <w:tcBorders/>
          </w:tcPr>
          <w:p>
            <w:pPr>
              <w:pStyle w:val="Normal"/>
              <w:widowControl/>
              <w:spacing w:lineRule="auto" w:line="240" w:before="0" w:after="0"/>
              <w:jc w:val="center"/>
              <w:rPr/>
            </w:pPr>
            <w:r>
              <w:rPr>
                <w:rFonts w:eastAsia="Calibri" w:cs=""/>
                <w:kern w:val="0"/>
                <w:sz w:val="22"/>
                <w:szCs w:val="22"/>
                <w:lang w:val="fr-FR" w:eastAsia="en-US" w:bidi="ar-SA"/>
              </w:rPr>
              <w:t>1</w:t>
            </w:r>
            <w:r>
              <w:rPr>
                <w:rFonts w:eastAsia="Calibri" w:cs=""/>
                <w:kern w:val="0"/>
                <w:sz w:val="22"/>
                <w:szCs w:val="22"/>
                <w:lang w:val="fr-FR" w:eastAsia="en-US" w:bidi="ar-SA"/>
              </w:rPr>
              <w:t>6,20</w:t>
            </w:r>
            <w:r>
              <w:rPr>
                <w:rFonts w:eastAsia="Calibri" w:cs=""/>
                <w:kern w:val="0"/>
                <w:sz w:val="22"/>
                <w:szCs w:val="22"/>
                <w:lang w:val="fr-FR" w:eastAsia="en-US" w:bidi="ar-SA"/>
              </w:rPr>
              <w:t xml:space="preserve"> €</w:t>
            </w:r>
          </w:p>
        </w:tc>
      </w:tr>
      <w:tr>
        <w:trPr/>
        <w:tc>
          <w:tcPr>
            <w:tcW w:w="3402" w:type="dxa"/>
            <w:tcBorders/>
          </w:tcPr>
          <w:p>
            <w:pPr>
              <w:pStyle w:val="Normal"/>
              <w:widowControl/>
              <w:spacing w:lineRule="auto" w:line="240" w:before="0" w:after="0"/>
              <w:jc w:val="both"/>
              <w:rPr>
                <w:sz w:val="16"/>
                <w:szCs w:val="16"/>
              </w:rPr>
            </w:pPr>
            <w:r>
              <w:rPr>
                <w:rFonts w:eastAsia="Calibri" w:cs=""/>
                <w:kern w:val="0"/>
                <w:sz w:val="16"/>
                <w:szCs w:val="16"/>
                <w:lang w:val="fr-FR" w:eastAsia="en-US" w:bidi="ar-SA"/>
              </w:rPr>
              <w:t>Dispositifs publicitaires et préenseignes non numériques de plus de 50 m²</w:t>
            </w:r>
          </w:p>
        </w:tc>
        <w:tc>
          <w:tcPr>
            <w:tcW w:w="3397" w:type="dxa"/>
            <w:tcBorders/>
          </w:tcPr>
          <w:p>
            <w:pPr>
              <w:pStyle w:val="Normal"/>
              <w:widowControl/>
              <w:spacing w:lineRule="auto" w:line="240" w:before="0" w:after="0"/>
              <w:jc w:val="center"/>
              <w:rPr/>
            </w:pPr>
            <w:r>
              <w:rPr>
                <w:rFonts w:eastAsia="Calibri" w:cs=""/>
                <w:kern w:val="0"/>
                <w:sz w:val="22"/>
                <w:szCs w:val="22"/>
                <w:lang w:val="fr-FR" w:eastAsia="en-US" w:bidi="ar-SA"/>
              </w:rPr>
              <w:t>3</w:t>
            </w:r>
            <w:r>
              <w:rPr>
                <w:rFonts w:eastAsia="Calibri" w:cs=""/>
                <w:kern w:val="0"/>
                <w:sz w:val="22"/>
                <w:szCs w:val="22"/>
                <w:lang w:val="fr-FR" w:eastAsia="en-US" w:bidi="ar-SA"/>
              </w:rPr>
              <w:t>2,00</w:t>
            </w:r>
            <w:r>
              <w:rPr>
                <w:rFonts w:eastAsia="Calibri" w:cs=""/>
                <w:kern w:val="0"/>
                <w:sz w:val="22"/>
                <w:szCs w:val="22"/>
                <w:lang w:val="fr-FR" w:eastAsia="en-US" w:bidi="ar-SA"/>
              </w:rPr>
              <w:t xml:space="preserve"> €</w:t>
            </w:r>
          </w:p>
        </w:tc>
        <w:tc>
          <w:tcPr>
            <w:tcW w:w="3396" w:type="dxa"/>
            <w:tcBorders/>
          </w:tcPr>
          <w:p>
            <w:pPr>
              <w:pStyle w:val="Normal"/>
              <w:widowControl/>
              <w:spacing w:lineRule="auto" w:line="240" w:before="0" w:after="0"/>
              <w:jc w:val="center"/>
              <w:rPr/>
            </w:pPr>
            <w:r>
              <w:rPr>
                <w:rFonts w:eastAsia="Calibri" w:cs=""/>
                <w:kern w:val="0"/>
                <w:sz w:val="22"/>
                <w:szCs w:val="22"/>
                <w:lang w:val="fr-FR" w:eastAsia="en-US" w:bidi="ar-SA"/>
              </w:rPr>
              <w:t>3</w:t>
            </w:r>
            <w:r>
              <w:rPr>
                <w:rFonts w:eastAsia="Calibri" w:cs=""/>
                <w:kern w:val="0"/>
                <w:sz w:val="22"/>
                <w:szCs w:val="22"/>
                <w:lang w:val="fr-FR" w:eastAsia="en-US" w:bidi="ar-SA"/>
              </w:rPr>
              <w:t>2,40</w:t>
            </w:r>
            <w:r>
              <w:rPr>
                <w:rFonts w:eastAsia="Calibri" w:cs=""/>
                <w:kern w:val="0"/>
                <w:sz w:val="22"/>
                <w:szCs w:val="22"/>
                <w:lang w:val="fr-FR" w:eastAsia="en-US" w:bidi="ar-SA"/>
              </w:rPr>
              <w:t xml:space="preserve"> €</w:t>
            </w:r>
          </w:p>
        </w:tc>
      </w:tr>
      <w:tr>
        <w:trPr/>
        <w:tc>
          <w:tcPr>
            <w:tcW w:w="3402" w:type="dxa"/>
            <w:tcBorders/>
          </w:tcPr>
          <w:p>
            <w:pPr>
              <w:pStyle w:val="Normal"/>
              <w:widowControl/>
              <w:spacing w:lineRule="auto" w:line="240" w:before="0" w:after="0"/>
              <w:jc w:val="both"/>
              <w:rPr>
                <w:sz w:val="16"/>
                <w:szCs w:val="16"/>
              </w:rPr>
            </w:pPr>
            <w:r>
              <w:rPr>
                <w:rFonts w:eastAsia="Calibri" w:cs=""/>
                <w:kern w:val="0"/>
                <w:sz w:val="16"/>
                <w:szCs w:val="16"/>
                <w:lang w:val="fr-FR" w:eastAsia="en-US" w:bidi="ar-SA"/>
              </w:rPr>
              <w:t>Dispositifs publicitaires et préenseignes sur supports numériques de moins de 50 m²</w:t>
            </w:r>
          </w:p>
        </w:tc>
        <w:tc>
          <w:tcPr>
            <w:tcW w:w="3397" w:type="dxa"/>
            <w:tcBorders/>
          </w:tcPr>
          <w:p>
            <w:pPr>
              <w:pStyle w:val="Normal"/>
              <w:widowControl/>
              <w:spacing w:lineRule="auto" w:line="240" w:before="0" w:after="0"/>
              <w:jc w:val="center"/>
              <w:rPr/>
            </w:pPr>
            <w:r>
              <w:rPr>
                <w:rFonts w:eastAsia="Calibri" w:cs=""/>
                <w:kern w:val="0"/>
                <w:sz w:val="22"/>
                <w:szCs w:val="22"/>
                <w:lang w:val="fr-FR" w:eastAsia="en-US" w:bidi="ar-SA"/>
              </w:rPr>
              <w:t>4</w:t>
            </w:r>
            <w:r>
              <w:rPr>
                <w:rFonts w:eastAsia="Calibri" w:cs=""/>
                <w:kern w:val="0"/>
                <w:sz w:val="22"/>
                <w:szCs w:val="22"/>
                <w:lang w:val="fr-FR" w:eastAsia="en-US" w:bidi="ar-SA"/>
              </w:rPr>
              <w:t>8,0</w:t>
            </w:r>
            <w:r>
              <w:rPr>
                <w:rFonts w:eastAsia="Calibri" w:cs=""/>
                <w:kern w:val="0"/>
                <w:sz w:val="22"/>
                <w:szCs w:val="22"/>
                <w:lang w:val="fr-FR" w:eastAsia="en-US" w:bidi="ar-SA"/>
              </w:rPr>
              <w:t>0 €</w:t>
            </w:r>
          </w:p>
        </w:tc>
        <w:tc>
          <w:tcPr>
            <w:tcW w:w="3396" w:type="dxa"/>
            <w:tcBorders/>
          </w:tcPr>
          <w:p>
            <w:pPr>
              <w:pStyle w:val="Normal"/>
              <w:widowControl/>
              <w:spacing w:lineRule="auto" w:line="240" w:before="0" w:after="0"/>
              <w:jc w:val="center"/>
              <w:rPr/>
            </w:pPr>
            <w:r>
              <w:rPr>
                <w:rFonts w:eastAsia="Calibri" w:cs=""/>
                <w:kern w:val="0"/>
                <w:sz w:val="22"/>
                <w:szCs w:val="22"/>
                <w:lang w:val="fr-FR" w:eastAsia="en-US" w:bidi="ar-SA"/>
              </w:rPr>
              <w:t>4</w:t>
            </w:r>
            <w:r>
              <w:rPr>
                <w:rFonts w:eastAsia="Calibri" w:cs=""/>
                <w:kern w:val="0"/>
                <w:sz w:val="22"/>
                <w:szCs w:val="22"/>
                <w:lang w:val="fr-FR" w:eastAsia="en-US" w:bidi="ar-SA"/>
              </w:rPr>
              <w:t>8,6</w:t>
            </w:r>
            <w:r>
              <w:rPr>
                <w:rFonts w:eastAsia="Calibri" w:cs=""/>
                <w:kern w:val="0"/>
                <w:sz w:val="22"/>
                <w:szCs w:val="22"/>
                <w:lang w:val="fr-FR" w:eastAsia="en-US" w:bidi="ar-SA"/>
              </w:rPr>
              <w:t>0 €</w:t>
            </w:r>
          </w:p>
        </w:tc>
      </w:tr>
      <w:tr>
        <w:trPr/>
        <w:tc>
          <w:tcPr>
            <w:tcW w:w="3402" w:type="dxa"/>
            <w:tcBorders/>
          </w:tcPr>
          <w:p>
            <w:pPr>
              <w:pStyle w:val="Normal"/>
              <w:widowControl/>
              <w:spacing w:lineRule="auto" w:line="240" w:before="0" w:after="0"/>
              <w:jc w:val="both"/>
              <w:rPr>
                <w:sz w:val="16"/>
                <w:szCs w:val="16"/>
              </w:rPr>
            </w:pPr>
            <w:r>
              <w:rPr>
                <w:rFonts w:eastAsia="Calibri" w:cs=""/>
                <w:kern w:val="0"/>
                <w:sz w:val="16"/>
                <w:szCs w:val="16"/>
                <w:lang w:val="fr-FR" w:eastAsia="en-US" w:bidi="ar-SA"/>
              </w:rPr>
              <w:t>Dispositifs publicitaires et préenseignes sur support numériques de plus de 50 m²</w:t>
            </w:r>
          </w:p>
        </w:tc>
        <w:tc>
          <w:tcPr>
            <w:tcW w:w="3397" w:type="dxa"/>
            <w:tcBorders/>
          </w:tcPr>
          <w:p>
            <w:pPr>
              <w:pStyle w:val="Normal"/>
              <w:widowControl/>
              <w:spacing w:lineRule="auto" w:line="240" w:before="0" w:after="0"/>
              <w:jc w:val="center"/>
              <w:rPr/>
            </w:pPr>
            <w:r>
              <w:rPr>
                <w:rFonts w:eastAsia="Calibri" w:cs=""/>
                <w:kern w:val="0"/>
                <w:sz w:val="22"/>
                <w:szCs w:val="22"/>
                <w:lang w:val="fr-FR" w:eastAsia="en-US" w:bidi="ar-SA"/>
              </w:rPr>
              <w:t>9</w:t>
            </w:r>
            <w:r>
              <w:rPr>
                <w:rFonts w:eastAsia="Calibri" w:cs=""/>
                <w:kern w:val="0"/>
                <w:sz w:val="22"/>
                <w:szCs w:val="22"/>
                <w:lang w:val="fr-FR" w:eastAsia="en-US" w:bidi="ar-SA"/>
              </w:rPr>
              <w:t>5,7</w:t>
            </w:r>
            <w:r>
              <w:rPr>
                <w:rFonts w:eastAsia="Calibri" w:cs=""/>
                <w:kern w:val="0"/>
                <w:sz w:val="22"/>
                <w:szCs w:val="22"/>
                <w:lang w:val="fr-FR" w:eastAsia="en-US" w:bidi="ar-SA"/>
              </w:rPr>
              <w:t>0 €</w:t>
            </w:r>
          </w:p>
        </w:tc>
        <w:tc>
          <w:tcPr>
            <w:tcW w:w="3396" w:type="dxa"/>
            <w:tcBorders/>
          </w:tcPr>
          <w:p>
            <w:pPr>
              <w:pStyle w:val="Normal"/>
              <w:widowControl/>
              <w:spacing w:lineRule="auto" w:line="240" w:before="0" w:after="0"/>
              <w:jc w:val="center"/>
              <w:rPr/>
            </w:pPr>
            <w:r>
              <w:rPr>
                <w:rFonts w:eastAsia="Calibri" w:cs=""/>
                <w:kern w:val="0"/>
                <w:sz w:val="22"/>
                <w:szCs w:val="22"/>
                <w:lang w:val="fr-FR" w:eastAsia="en-US" w:bidi="ar-SA"/>
              </w:rPr>
              <w:t>9</w:t>
            </w:r>
            <w:r>
              <w:rPr>
                <w:rFonts w:eastAsia="Calibri" w:cs=""/>
                <w:kern w:val="0"/>
                <w:sz w:val="22"/>
                <w:szCs w:val="22"/>
                <w:lang w:val="fr-FR" w:eastAsia="en-US" w:bidi="ar-SA"/>
              </w:rPr>
              <w:t>7,2</w:t>
            </w:r>
            <w:r>
              <w:rPr>
                <w:rFonts w:eastAsia="Calibri" w:cs=""/>
                <w:kern w:val="0"/>
                <w:sz w:val="22"/>
                <w:szCs w:val="22"/>
                <w:lang w:val="fr-FR" w:eastAsia="en-US" w:bidi="ar-SA"/>
              </w:rPr>
              <w:t>0 €</w:t>
            </w:r>
          </w:p>
        </w:tc>
      </w:tr>
      <w:tr>
        <w:trPr/>
        <w:tc>
          <w:tcPr>
            <w:tcW w:w="3402" w:type="dxa"/>
            <w:tcBorders/>
          </w:tcPr>
          <w:p>
            <w:pPr>
              <w:pStyle w:val="Normal"/>
              <w:widowControl/>
              <w:spacing w:lineRule="auto" w:line="240" w:before="0" w:after="0"/>
              <w:jc w:val="both"/>
              <w:rPr>
                <w:sz w:val="16"/>
                <w:szCs w:val="16"/>
              </w:rPr>
            </w:pPr>
            <w:r>
              <w:rPr>
                <w:rFonts w:eastAsia="Calibri" w:cs=""/>
                <w:kern w:val="0"/>
                <w:sz w:val="16"/>
                <w:szCs w:val="16"/>
                <w:lang w:val="fr-FR" w:eastAsia="en-US" w:bidi="ar-SA"/>
              </w:rPr>
              <w:t>Enseignes de moins de 12 m²</w:t>
            </w:r>
          </w:p>
        </w:tc>
        <w:tc>
          <w:tcPr>
            <w:tcW w:w="3397" w:type="dxa"/>
            <w:tcBorders/>
          </w:tcPr>
          <w:p>
            <w:pPr>
              <w:pStyle w:val="Normal"/>
              <w:widowControl/>
              <w:spacing w:lineRule="auto" w:line="240" w:before="0" w:after="0"/>
              <w:jc w:val="center"/>
              <w:rPr/>
            </w:pPr>
            <w:r>
              <w:rPr>
                <w:rFonts w:eastAsia="Calibri" w:cs=""/>
                <w:kern w:val="0"/>
                <w:sz w:val="22"/>
                <w:szCs w:val="22"/>
                <w:lang w:val="fr-FR" w:eastAsia="en-US" w:bidi="ar-SA"/>
              </w:rPr>
              <w:t>1</w:t>
            </w:r>
            <w:r>
              <w:rPr>
                <w:rFonts w:eastAsia="Calibri" w:cs=""/>
                <w:kern w:val="0"/>
                <w:sz w:val="22"/>
                <w:szCs w:val="22"/>
                <w:lang w:val="fr-FR" w:eastAsia="en-US" w:bidi="ar-SA"/>
              </w:rPr>
              <w:t>6,00</w:t>
            </w:r>
            <w:r>
              <w:rPr>
                <w:rFonts w:eastAsia="Calibri" w:cs=""/>
                <w:kern w:val="0"/>
                <w:sz w:val="22"/>
                <w:szCs w:val="22"/>
                <w:lang w:val="fr-FR" w:eastAsia="en-US" w:bidi="ar-SA"/>
              </w:rPr>
              <w:t xml:space="preserve"> €</w:t>
            </w:r>
          </w:p>
        </w:tc>
        <w:tc>
          <w:tcPr>
            <w:tcW w:w="3396" w:type="dxa"/>
            <w:tcBorders/>
          </w:tcPr>
          <w:p>
            <w:pPr>
              <w:pStyle w:val="Normal"/>
              <w:widowControl/>
              <w:spacing w:lineRule="auto" w:line="240" w:before="0" w:after="0"/>
              <w:jc w:val="center"/>
              <w:rPr/>
            </w:pPr>
            <w:r>
              <w:rPr>
                <w:rFonts w:eastAsia="Calibri" w:cs=""/>
                <w:kern w:val="0"/>
                <w:sz w:val="22"/>
                <w:szCs w:val="22"/>
                <w:lang w:val="fr-FR" w:eastAsia="en-US" w:bidi="ar-SA"/>
              </w:rPr>
              <w:t>1</w:t>
            </w:r>
            <w:r>
              <w:rPr>
                <w:rFonts w:eastAsia="Calibri" w:cs=""/>
                <w:kern w:val="0"/>
                <w:sz w:val="22"/>
                <w:szCs w:val="22"/>
                <w:lang w:val="fr-FR" w:eastAsia="en-US" w:bidi="ar-SA"/>
              </w:rPr>
              <w:t>6,20</w:t>
            </w:r>
            <w:r>
              <w:rPr>
                <w:rFonts w:eastAsia="Calibri" w:cs=""/>
                <w:kern w:val="0"/>
                <w:sz w:val="22"/>
                <w:szCs w:val="22"/>
                <w:lang w:val="fr-FR" w:eastAsia="en-US" w:bidi="ar-SA"/>
              </w:rPr>
              <w:t xml:space="preserve"> €</w:t>
            </w:r>
          </w:p>
        </w:tc>
      </w:tr>
      <w:tr>
        <w:trPr/>
        <w:tc>
          <w:tcPr>
            <w:tcW w:w="3402" w:type="dxa"/>
            <w:tcBorders/>
          </w:tcPr>
          <w:p>
            <w:pPr>
              <w:pStyle w:val="Normal"/>
              <w:widowControl/>
              <w:spacing w:lineRule="auto" w:line="240" w:before="0" w:after="0"/>
              <w:jc w:val="both"/>
              <w:rPr>
                <w:rFonts w:ascii="Calibri" w:hAnsi="Calibri" w:eastAsia="Calibri" w:cs=""/>
                <w:kern w:val="0"/>
                <w:lang w:val="fr-FR" w:eastAsia="en-US" w:bidi="ar-SA"/>
              </w:rPr>
            </w:pPr>
            <w:r>
              <w:rPr>
                <w:rFonts w:eastAsia="Calibri" w:cs=""/>
                <w:kern w:val="0"/>
                <w:sz w:val="16"/>
                <w:szCs w:val="16"/>
                <w:lang w:val="fr-FR" w:eastAsia="en-US" w:bidi="ar-SA"/>
              </w:rPr>
              <w:t>Enseignes entre  12 m² et 50 m²</w:t>
            </w:r>
          </w:p>
        </w:tc>
        <w:tc>
          <w:tcPr>
            <w:tcW w:w="3397" w:type="dxa"/>
            <w:tcBorders/>
          </w:tcPr>
          <w:p>
            <w:pPr>
              <w:pStyle w:val="Normal"/>
              <w:widowControl/>
              <w:spacing w:lineRule="auto" w:line="240" w:before="0" w:after="0"/>
              <w:jc w:val="center"/>
              <w:rPr>
                <w:rFonts w:ascii="Calibri" w:hAnsi="Calibri" w:eastAsia="Calibri" w:cs=""/>
                <w:kern w:val="0"/>
                <w:sz w:val="22"/>
                <w:szCs w:val="22"/>
                <w:lang w:val="fr-FR" w:eastAsia="en-US" w:bidi="ar-SA"/>
              </w:rPr>
            </w:pPr>
            <w:r>
              <w:rPr>
                <w:rFonts w:eastAsia="Calibri" w:cs=""/>
                <w:kern w:val="0"/>
                <w:sz w:val="22"/>
                <w:szCs w:val="22"/>
                <w:lang w:val="fr-FR" w:eastAsia="en-US" w:bidi="ar-SA"/>
              </w:rPr>
              <w:t>32,00 €</w:t>
            </w:r>
          </w:p>
        </w:tc>
        <w:tc>
          <w:tcPr>
            <w:tcW w:w="3396" w:type="dxa"/>
            <w:tcBorders/>
          </w:tcPr>
          <w:p>
            <w:pPr>
              <w:pStyle w:val="Normal"/>
              <w:widowControl/>
              <w:spacing w:lineRule="auto" w:line="240" w:before="0" w:after="0"/>
              <w:jc w:val="center"/>
              <w:rPr/>
            </w:pPr>
            <w:r>
              <w:rPr>
                <w:rFonts w:eastAsia="Calibri" w:cs=""/>
                <w:kern w:val="0"/>
                <w:sz w:val="22"/>
                <w:szCs w:val="22"/>
                <w:lang w:val="fr-FR" w:eastAsia="en-US" w:bidi="ar-SA"/>
              </w:rPr>
              <w:t>3</w:t>
            </w:r>
            <w:r>
              <w:rPr>
                <w:rFonts w:eastAsia="Calibri" w:cs=""/>
                <w:kern w:val="0"/>
                <w:sz w:val="22"/>
                <w:szCs w:val="22"/>
                <w:lang w:val="fr-FR" w:eastAsia="en-US" w:bidi="ar-SA"/>
              </w:rPr>
              <w:t>2,40</w:t>
            </w:r>
            <w:r>
              <w:rPr>
                <w:rFonts w:eastAsia="Calibri" w:cs=""/>
                <w:kern w:val="0"/>
                <w:sz w:val="22"/>
                <w:szCs w:val="22"/>
                <w:lang w:val="fr-FR" w:eastAsia="en-US" w:bidi="ar-SA"/>
              </w:rPr>
              <w:t xml:space="preserve"> €</w:t>
            </w:r>
          </w:p>
        </w:tc>
      </w:tr>
      <w:tr>
        <w:trPr/>
        <w:tc>
          <w:tcPr>
            <w:tcW w:w="3402" w:type="dxa"/>
            <w:tcBorders/>
          </w:tcPr>
          <w:p>
            <w:pPr>
              <w:pStyle w:val="Normal"/>
              <w:widowControl/>
              <w:spacing w:lineRule="auto" w:line="240" w:before="0" w:after="0"/>
              <w:jc w:val="both"/>
              <w:rPr>
                <w:rFonts w:ascii="Calibri" w:hAnsi="Calibri" w:eastAsia="Calibri" w:cs=""/>
                <w:kern w:val="0"/>
                <w:lang w:val="fr-FR" w:eastAsia="en-US" w:bidi="ar-SA"/>
              </w:rPr>
            </w:pPr>
            <w:r>
              <w:rPr>
                <w:rFonts w:eastAsia="Calibri" w:cs=""/>
                <w:kern w:val="0"/>
                <w:sz w:val="16"/>
                <w:szCs w:val="16"/>
                <w:lang w:val="fr-FR" w:eastAsia="en-US" w:bidi="ar-SA"/>
              </w:rPr>
              <w:t>Enseignes à partir de 50 m²</w:t>
            </w:r>
          </w:p>
        </w:tc>
        <w:tc>
          <w:tcPr>
            <w:tcW w:w="3397" w:type="dxa"/>
            <w:tcBorders/>
          </w:tcPr>
          <w:p>
            <w:pPr>
              <w:pStyle w:val="Normal"/>
              <w:widowControl/>
              <w:spacing w:lineRule="auto" w:line="240" w:before="0" w:after="0"/>
              <w:jc w:val="center"/>
              <w:rPr>
                <w:rFonts w:ascii="Calibri" w:hAnsi="Calibri" w:eastAsia="Calibri" w:cs=""/>
                <w:kern w:val="0"/>
                <w:sz w:val="22"/>
                <w:szCs w:val="22"/>
                <w:lang w:val="fr-FR" w:eastAsia="en-US" w:bidi="ar-SA"/>
              </w:rPr>
            </w:pPr>
            <w:r>
              <w:rPr>
                <w:rFonts w:eastAsia="Calibri" w:cs=""/>
                <w:kern w:val="0"/>
                <w:sz w:val="22"/>
                <w:szCs w:val="22"/>
                <w:lang w:val="fr-FR" w:eastAsia="en-US" w:bidi="ar-SA"/>
              </w:rPr>
              <w:t>6</w:t>
            </w:r>
            <w:r>
              <w:rPr>
                <w:rFonts w:eastAsia="Calibri" w:cs=""/>
                <w:kern w:val="0"/>
                <w:sz w:val="22"/>
                <w:szCs w:val="22"/>
                <w:lang w:val="fr-FR" w:eastAsia="en-US" w:bidi="ar-SA"/>
              </w:rPr>
              <w:t>3,3</w:t>
            </w:r>
            <w:r>
              <w:rPr>
                <w:rFonts w:eastAsia="Calibri" w:cs=""/>
                <w:kern w:val="0"/>
                <w:sz w:val="22"/>
                <w:szCs w:val="22"/>
                <w:lang w:val="fr-FR" w:eastAsia="en-US" w:bidi="ar-SA"/>
              </w:rPr>
              <w:t>0 €</w:t>
            </w:r>
          </w:p>
        </w:tc>
        <w:tc>
          <w:tcPr>
            <w:tcW w:w="3396" w:type="dxa"/>
            <w:tcBorders/>
          </w:tcPr>
          <w:p>
            <w:pPr>
              <w:pStyle w:val="Normal"/>
              <w:widowControl/>
              <w:spacing w:lineRule="auto" w:line="240" w:before="0" w:after="0"/>
              <w:jc w:val="center"/>
              <w:rPr/>
            </w:pPr>
            <w:r>
              <w:rPr>
                <w:rFonts w:eastAsia="Calibri" w:cs=""/>
                <w:kern w:val="0"/>
                <w:sz w:val="22"/>
                <w:szCs w:val="22"/>
                <w:lang w:val="fr-FR" w:eastAsia="en-US" w:bidi="ar-SA"/>
              </w:rPr>
              <w:t>6</w:t>
            </w:r>
            <w:r>
              <w:rPr>
                <w:rFonts w:eastAsia="Calibri" w:cs=""/>
                <w:kern w:val="0"/>
                <w:sz w:val="22"/>
                <w:szCs w:val="22"/>
                <w:lang w:val="fr-FR" w:eastAsia="en-US" w:bidi="ar-SA"/>
              </w:rPr>
              <w:t>4,20</w:t>
            </w:r>
            <w:r>
              <w:rPr>
                <w:rFonts w:eastAsia="Calibri" w:cs=""/>
                <w:kern w:val="0"/>
                <w:sz w:val="22"/>
                <w:szCs w:val="22"/>
                <w:lang w:val="fr-FR" w:eastAsia="en-US" w:bidi="ar-SA"/>
              </w:rPr>
              <w:t xml:space="preserve"> €</w:t>
            </w:r>
          </w:p>
        </w:tc>
      </w:tr>
    </w:tbl>
    <w:p>
      <w:pPr>
        <w:pStyle w:val="Normal"/>
        <w:spacing w:before="0" w:after="0"/>
        <w:jc w:val="both"/>
        <w:rPr/>
      </w:pPr>
      <w:r>
        <w:rPr>
          <w:rFonts w:cs="Arial" w:ascii="Arial" w:hAnsi="Arial"/>
          <w:b w:val="false"/>
          <w:bCs w:val="false"/>
          <w:sz w:val="20"/>
          <w:szCs w:val="20"/>
          <w:u w:val="none"/>
        </w:rPr>
        <w:t xml:space="preserve">(voir délibération, ci-jointe, de la commune fixant les tarifs et les exonérations) </w:t>
      </w:r>
    </w:p>
    <w:p>
      <w:pPr>
        <w:pStyle w:val="Normal"/>
        <w:spacing w:before="0" w:after="0"/>
        <w:jc w:val="both"/>
        <w:rPr>
          <w:rFonts w:ascii="Arial" w:hAnsi="Arial" w:cs="Arial"/>
          <w:b/>
          <w:b/>
          <w:sz w:val="20"/>
          <w:szCs w:val="20"/>
          <w:u w:val="single"/>
        </w:rPr>
      </w:pPr>
      <w:r>
        <w:rPr/>
      </w:r>
    </w:p>
    <w:p>
      <w:pPr>
        <w:pStyle w:val="Normal"/>
        <w:spacing w:before="0" w:after="0"/>
        <w:jc w:val="both"/>
        <w:rPr>
          <w:rFonts w:ascii="Arial" w:hAnsi="Arial" w:cs="Arial"/>
          <w:b/>
          <w:b/>
          <w:sz w:val="20"/>
          <w:szCs w:val="20"/>
          <w:u w:val="single"/>
        </w:rPr>
      </w:pPr>
      <w:r>
        <w:rPr>
          <w:rFonts w:cs="Arial" w:ascii="Arial" w:hAnsi="Arial"/>
          <w:b/>
          <w:sz w:val="20"/>
          <w:szCs w:val="20"/>
          <w:u w:val="single"/>
        </w:rPr>
        <w:t xml:space="preserve">III – EXONERATIONS </w:t>
      </w:r>
    </w:p>
    <w:p>
      <w:pPr>
        <w:pStyle w:val="Normal"/>
        <w:spacing w:before="0" w:after="0"/>
        <w:jc w:val="both"/>
        <w:rPr>
          <w:rFonts w:ascii="Arial" w:hAnsi="Arial" w:cs="Arial"/>
          <w:sz w:val="20"/>
          <w:szCs w:val="20"/>
        </w:rPr>
      </w:pPr>
      <w:r>
        <w:rPr>
          <w:rFonts w:cs="Arial" w:ascii="Arial" w:hAnsi="Arial"/>
          <w:sz w:val="20"/>
          <w:szCs w:val="20"/>
        </w:rPr>
        <w:tab/>
        <w:t>Tout support même exonérés doit être déclaré</w:t>
      </w:r>
    </w:p>
    <w:p>
      <w:pPr>
        <w:pStyle w:val="Normal"/>
        <w:spacing w:before="0" w:after="0"/>
        <w:jc w:val="both"/>
        <w:rPr>
          <w:rFonts w:ascii="Arial" w:hAnsi="Arial" w:cs="Arial"/>
          <w:sz w:val="20"/>
          <w:szCs w:val="20"/>
        </w:rPr>
      </w:pPr>
      <w:r>
        <w:rPr>
          <w:rFonts w:cs="Arial" w:ascii="Arial" w:hAnsi="Arial"/>
          <w:sz w:val="20"/>
          <w:szCs w:val="20"/>
        </w:rPr>
        <w:t xml:space="preserve">Sont exonérés de la taxe les dispositifs ou supports suivants : </w:t>
      </w:r>
    </w:p>
    <w:p>
      <w:pPr>
        <w:pStyle w:val="ListParagraph"/>
        <w:numPr>
          <w:ilvl w:val="0"/>
          <w:numId w:val="2"/>
        </w:numPr>
        <w:spacing w:before="0" w:after="0"/>
        <w:contextualSpacing/>
        <w:jc w:val="both"/>
        <w:rPr>
          <w:rFonts w:ascii="Arial" w:hAnsi="Arial" w:cs="Arial"/>
          <w:sz w:val="20"/>
          <w:szCs w:val="20"/>
        </w:rPr>
      </w:pPr>
      <w:r>
        <w:rPr>
          <w:rFonts w:cs="Arial" w:ascii="Arial" w:hAnsi="Arial"/>
          <w:sz w:val="20"/>
          <w:szCs w:val="20"/>
        </w:rPr>
        <w:t>Affichage de publicité non commerciales,</w:t>
      </w:r>
    </w:p>
    <w:p>
      <w:pPr>
        <w:pStyle w:val="ListParagraph"/>
        <w:numPr>
          <w:ilvl w:val="0"/>
          <w:numId w:val="2"/>
        </w:numPr>
        <w:spacing w:before="0" w:after="0"/>
        <w:contextualSpacing/>
        <w:jc w:val="both"/>
        <w:rPr>
          <w:rFonts w:ascii="Arial" w:hAnsi="Arial" w:cs="Arial"/>
          <w:sz w:val="20"/>
          <w:szCs w:val="20"/>
        </w:rPr>
      </w:pPr>
      <w:r>
        <w:rPr>
          <w:rFonts w:cs="Arial" w:ascii="Arial" w:hAnsi="Arial"/>
          <w:sz w:val="20"/>
          <w:szCs w:val="20"/>
        </w:rPr>
        <w:t>Dispositifs concernant les spectacles</w:t>
      </w:r>
    </w:p>
    <w:p>
      <w:pPr>
        <w:pStyle w:val="ListParagraph"/>
        <w:numPr>
          <w:ilvl w:val="0"/>
          <w:numId w:val="2"/>
        </w:numPr>
        <w:spacing w:before="0" w:after="0"/>
        <w:contextualSpacing/>
        <w:jc w:val="both"/>
        <w:rPr>
          <w:rFonts w:ascii="Arial" w:hAnsi="Arial" w:cs="Arial"/>
          <w:sz w:val="20"/>
          <w:szCs w:val="20"/>
        </w:rPr>
      </w:pPr>
      <w:r>
        <w:rPr>
          <w:rFonts w:cs="Arial" w:ascii="Arial" w:hAnsi="Arial"/>
          <w:sz w:val="20"/>
          <w:szCs w:val="20"/>
        </w:rPr>
        <w:t>Supports prescrits par une disposition légale ou réglementaire (panneaux électoraux par exemple) ou imposés par une convention signée avec l’Etat,</w:t>
      </w:r>
    </w:p>
    <w:p>
      <w:pPr>
        <w:pStyle w:val="ListParagraph"/>
        <w:numPr>
          <w:ilvl w:val="0"/>
          <w:numId w:val="2"/>
        </w:numPr>
        <w:spacing w:before="0" w:after="0"/>
        <w:contextualSpacing/>
        <w:jc w:val="both"/>
        <w:rPr>
          <w:rFonts w:ascii="Arial" w:hAnsi="Arial" w:cs="Arial"/>
          <w:sz w:val="20"/>
          <w:szCs w:val="20"/>
        </w:rPr>
      </w:pPr>
      <w:r>
        <w:rPr>
          <w:rFonts w:cs="Arial" w:ascii="Arial" w:hAnsi="Arial"/>
          <w:sz w:val="20"/>
          <w:szCs w:val="20"/>
        </w:rPr>
        <w:t>Localisation de professions réglementées (plaques de notaires, de médecins, etc…)</w:t>
      </w:r>
    </w:p>
    <w:p>
      <w:pPr>
        <w:pStyle w:val="ListParagraph"/>
        <w:numPr>
          <w:ilvl w:val="0"/>
          <w:numId w:val="2"/>
        </w:numPr>
        <w:spacing w:before="0" w:after="0"/>
        <w:contextualSpacing/>
        <w:jc w:val="both"/>
        <w:rPr>
          <w:rFonts w:ascii="Arial" w:hAnsi="Arial" w:cs="Arial"/>
          <w:sz w:val="20"/>
          <w:szCs w:val="20"/>
        </w:rPr>
      </w:pPr>
      <w:r>
        <w:rPr>
          <w:rFonts w:cs="Arial" w:ascii="Arial" w:hAnsi="Arial"/>
          <w:sz w:val="20"/>
          <w:szCs w:val="20"/>
        </w:rPr>
        <w:t>Panneaux de signalisations directionnelles relatifs à une activité ou à un service proposé</w:t>
      </w:r>
    </w:p>
    <w:p>
      <w:pPr>
        <w:pStyle w:val="ListParagraph"/>
        <w:numPr>
          <w:ilvl w:val="0"/>
          <w:numId w:val="2"/>
        </w:numPr>
        <w:spacing w:before="0" w:after="0"/>
        <w:contextualSpacing/>
        <w:jc w:val="both"/>
        <w:rPr>
          <w:rFonts w:ascii="Arial" w:hAnsi="Arial" w:cs="Arial"/>
          <w:sz w:val="20"/>
          <w:szCs w:val="20"/>
        </w:rPr>
      </w:pPr>
      <w:r>
        <w:rPr>
          <w:rFonts w:cs="Arial" w:ascii="Arial" w:hAnsi="Arial"/>
          <w:sz w:val="20"/>
          <w:szCs w:val="20"/>
        </w:rPr>
        <w:t xml:space="preserve">Panneaux d’information sur les horaires ou moyens de paiement de l’activité exercée (pour les tarifs à condition que la superficie cumulée du support soit inférieure ou égale à 7 m²), </w:t>
      </w:r>
    </w:p>
    <w:p>
      <w:pPr>
        <w:pStyle w:val="ListParagraph"/>
        <w:numPr>
          <w:ilvl w:val="0"/>
          <w:numId w:val="2"/>
        </w:numPr>
        <w:spacing w:before="0" w:after="0"/>
        <w:contextualSpacing/>
        <w:jc w:val="both"/>
        <w:rPr>
          <w:rFonts w:ascii="Arial" w:hAnsi="Arial" w:cs="Arial"/>
          <w:sz w:val="20"/>
          <w:szCs w:val="20"/>
        </w:rPr>
      </w:pPr>
      <w:r>
        <w:rPr>
          <w:rFonts w:cs="Arial" w:ascii="Arial" w:hAnsi="Arial"/>
          <w:sz w:val="20"/>
          <w:szCs w:val="20"/>
        </w:rPr>
        <w:t>Enseignes de moins de 7 m² en surface cumulée, conformément à la délibération municipale du 29 juin 2009.</w:t>
      </w:r>
    </w:p>
    <w:p>
      <w:pPr>
        <w:pStyle w:val="ListParagraph"/>
        <w:spacing w:before="0" w:after="0"/>
        <w:ind w:left="1065" w:hanging="0"/>
        <w:contextualSpacing/>
        <w:jc w:val="both"/>
        <w:rPr>
          <w:rFonts w:ascii="Arial" w:hAnsi="Arial" w:cs="Arial"/>
          <w:sz w:val="20"/>
          <w:szCs w:val="20"/>
        </w:rPr>
      </w:pPr>
      <w:r>
        <w:rPr>
          <w:rFonts w:cs="Arial" w:ascii="Arial" w:hAnsi="Arial"/>
          <w:sz w:val="20"/>
          <w:szCs w:val="20"/>
        </w:rPr>
      </w:r>
    </w:p>
    <w:p>
      <w:pPr>
        <w:pStyle w:val="Normal"/>
        <w:spacing w:before="0" w:after="0"/>
        <w:ind w:left="705" w:hanging="0"/>
        <w:jc w:val="both"/>
        <w:rPr>
          <w:rFonts w:ascii="Arial" w:hAnsi="Arial" w:cs="Arial"/>
          <w:sz w:val="20"/>
          <w:szCs w:val="20"/>
        </w:rPr>
      </w:pPr>
      <w:r>
        <w:rPr>
          <w:rFonts w:cs="Arial" w:ascii="Arial" w:hAnsi="Arial"/>
          <w:sz w:val="20"/>
          <w:szCs w:val="20"/>
        </w:rPr>
        <w:t xml:space="preserve">De plus, </w:t>
      </w:r>
      <w:r>
        <w:rPr>
          <w:rFonts w:cs="Arial" w:ascii="Arial" w:hAnsi="Arial"/>
          <w:b/>
          <w:sz w:val="20"/>
          <w:szCs w:val="20"/>
        </w:rPr>
        <w:t>à compter du 13 juillet 2015</w:t>
      </w:r>
      <w:r>
        <w:rPr>
          <w:rFonts w:cs="Arial" w:ascii="Arial" w:hAnsi="Arial"/>
          <w:sz w:val="20"/>
          <w:szCs w:val="20"/>
        </w:rPr>
        <w:t xml:space="preserve">, seules sont autorisées à se signaler par des préenseignes dérogatoires les acitivés en relation avec la fabrication ou la vente de vente de produits du terroir, les les activités culturelles, ainsi que les monuments classés ou inscrits au titre des monuments historiques ouverts à la visite, ainsi que, à titre temporaire, les opérations et manifestations exceptonnelles mentionnées à l’article L581-20 du Code de l’environnement. </w:t>
      </w:r>
    </w:p>
    <w:p>
      <w:pPr>
        <w:pStyle w:val="Normal"/>
        <w:spacing w:before="0" w:after="0"/>
        <w:ind w:left="705" w:hanging="0"/>
        <w:jc w:val="both"/>
        <w:rPr>
          <w:rFonts w:ascii="Arial" w:hAnsi="Arial" w:cs="Arial"/>
          <w:sz w:val="20"/>
          <w:szCs w:val="20"/>
        </w:rPr>
      </w:pPr>
      <w:r>
        <w:rPr>
          <w:rFonts w:cs="Arial" w:ascii="Arial" w:hAnsi="Arial"/>
          <w:sz w:val="20"/>
          <w:szCs w:val="20"/>
        </w:rPr>
        <w:t xml:space="preserve">Les enseignes dérogatoires scellées au sol ne peuvent plus être implantées en agglomération de moins de 10 000 habitants. Les préenseignes dérogatoires signalant des activités particulièrement utiles pour les personnes en déplacement ne sont plus autorisées hors agglomération et doivent être déposées. </w:t>
      </w:r>
    </w:p>
    <w:p>
      <w:pPr>
        <w:pStyle w:val="Normal"/>
        <w:spacing w:before="0" w:after="0"/>
        <w:ind w:left="705" w:hanging="0"/>
        <w:jc w:val="both"/>
        <w:rPr>
          <w:rFonts w:ascii="Arial" w:hAnsi="Arial" w:cs="Arial"/>
          <w:sz w:val="20"/>
          <w:szCs w:val="20"/>
        </w:rPr>
      </w:pPr>
      <w:r>
        <w:rPr>
          <w:rFonts w:cs="Arial" w:ascii="Arial" w:hAnsi="Arial"/>
          <w:sz w:val="20"/>
          <w:szCs w:val="20"/>
        </w:rPr>
      </w:r>
    </w:p>
    <w:p>
      <w:pPr>
        <w:pStyle w:val="Normal"/>
        <w:spacing w:before="0" w:after="0"/>
        <w:jc w:val="both"/>
        <w:rPr>
          <w:rFonts w:ascii="Arial" w:hAnsi="Arial" w:cs="Arial"/>
          <w:b/>
          <w:b/>
          <w:sz w:val="20"/>
          <w:szCs w:val="20"/>
          <w:u w:val="single"/>
        </w:rPr>
      </w:pPr>
      <w:r>
        <w:rPr>
          <w:rFonts w:cs="Arial" w:ascii="Arial" w:hAnsi="Arial"/>
          <w:b/>
          <w:sz w:val="20"/>
          <w:szCs w:val="20"/>
          <w:u w:val="single"/>
        </w:rPr>
        <w:t>IV – DECLARATION, RECOUVREMENT ET PAIEMENT DE LA TAXE</w:t>
      </w:r>
    </w:p>
    <w:p>
      <w:pPr>
        <w:pStyle w:val="Normal"/>
        <w:spacing w:before="0" w:after="0"/>
        <w:jc w:val="both"/>
        <w:rPr>
          <w:rFonts w:ascii="Arial" w:hAnsi="Arial" w:cs="Arial"/>
          <w:b/>
          <w:b/>
          <w:sz w:val="20"/>
          <w:szCs w:val="20"/>
        </w:rPr>
      </w:pPr>
      <w:r>
        <w:rPr>
          <w:rFonts w:cs="Arial" w:ascii="Arial" w:hAnsi="Arial"/>
          <w:sz w:val="20"/>
          <w:szCs w:val="20"/>
        </w:rPr>
        <w:t xml:space="preserve"> </w:t>
      </w:r>
      <w:r>
        <w:rPr>
          <w:rFonts w:cs="Arial" w:ascii="Arial" w:hAnsi="Arial"/>
          <w:b/>
          <w:sz w:val="20"/>
          <w:szCs w:val="20"/>
        </w:rPr>
        <w:t>A – REDEVABLES</w:t>
      </w:r>
    </w:p>
    <w:p>
      <w:pPr>
        <w:pStyle w:val="Normal"/>
        <w:spacing w:before="0" w:after="0"/>
        <w:ind w:left="705" w:hanging="0"/>
        <w:jc w:val="left"/>
        <w:rPr>
          <w:rFonts w:ascii="Arial" w:hAnsi="Arial" w:cs="Arial"/>
          <w:sz w:val="20"/>
          <w:szCs w:val="20"/>
        </w:rPr>
      </w:pPr>
      <w:r>
        <w:rPr>
          <w:rFonts w:cs="Arial" w:ascii="Arial" w:hAnsi="Arial"/>
          <w:sz w:val="20"/>
          <w:szCs w:val="20"/>
        </w:rPr>
        <w:t xml:space="preserve">Le redevable de la taxe est </w:t>
      </w:r>
      <w:r>
        <w:rPr>
          <w:rFonts w:cs="Arial" w:ascii="Arial" w:hAnsi="Arial"/>
          <w:b/>
          <w:sz w:val="20"/>
          <w:szCs w:val="20"/>
          <w:u w:val="single"/>
        </w:rPr>
        <w:t>l’exploitant du support.</w:t>
      </w:r>
      <w:r>
        <w:rPr>
          <w:rFonts w:cs="Arial" w:ascii="Arial" w:hAnsi="Arial"/>
          <w:sz w:val="20"/>
          <w:szCs w:val="20"/>
        </w:rPr>
        <w:br/>
        <w:tab/>
        <w:t xml:space="preserve">Toutefois, le législateur a prévu, en cas de défaillance du redevable de droit commun, de redevables de deuxième et troisième rang. </w:t>
      </w:r>
    </w:p>
    <w:p>
      <w:pPr>
        <w:pStyle w:val="Normal"/>
        <w:spacing w:before="0" w:after="0"/>
        <w:jc w:val="both"/>
        <w:rPr>
          <w:rFonts w:ascii="Arial" w:hAnsi="Arial" w:cs="Arial"/>
          <w:sz w:val="20"/>
          <w:szCs w:val="20"/>
        </w:rPr>
      </w:pPr>
      <w:r>
        <w:rPr>
          <w:rFonts w:cs="Arial" w:ascii="Arial" w:hAnsi="Arial"/>
          <w:sz w:val="20"/>
          <w:szCs w:val="20"/>
        </w:rPr>
        <w:tab/>
        <w:t xml:space="preserve">Le redevable de deuxième rang est </w:t>
      </w:r>
      <w:r>
        <w:rPr>
          <w:rFonts w:cs="Arial" w:ascii="Arial" w:hAnsi="Arial"/>
          <w:b/>
          <w:sz w:val="20"/>
          <w:szCs w:val="20"/>
          <w:u w:val="single"/>
        </w:rPr>
        <w:t>le propriétaire du support.</w:t>
      </w:r>
      <w:r>
        <w:rPr>
          <w:rFonts w:cs="Arial" w:ascii="Arial" w:hAnsi="Arial"/>
          <w:sz w:val="20"/>
          <w:szCs w:val="20"/>
        </w:rPr>
        <w:t xml:space="preserve"> </w:t>
      </w:r>
    </w:p>
    <w:p>
      <w:pPr>
        <w:pStyle w:val="Normal"/>
        <w:spacing w:before="0" w:after="0"/>
        <w:jc w:val="both"/>
        <w:rPr>
          <w:rFonts w:ascii="Arial" w:hAnsi="Arial" w:cs="Arial"/>
          <w:sz w:val="20"/>
          <w:szCs w:val="20"/>
        </w:rPr>
      </w:pPr>
      <w:r>
        <w:rPr>
          <w:rFonts w:cs="Arial" w:ascii="Arial" w:hAnsi="Arial"/>
          <w:sz w:val="20"/>
          <w:szCs w:val="20"/>
        </w:rPr>
        <w:tab/>
        <w:t xml:space="preserve">En dernier recours, le redevable de troisième rang est </w:t>
      </w:r>
      <w:r>
        <w:rPr>
          <w:rFonts w:cs="Arial" w:ascii="Arial" w:hAnsi="Arial"/>
          <w:b/>
          <w:sz w:val="20"/>
          <w:szCs w:val="20"/>
          <w:u w:val="single"/>
        </w:rPr>
        <w:t>celui dans l’intérêt duquel le support a été réalisé</w:t>
      </w:r>
      <w:r>
        <w:rPr>
          <w:rFonts w:cs="Arial" w:ascii="Arial" w:hAnsi="Arial"/>
          <w:sz w:val="20"/>
          <w:szCs w:val="20"/>
        </w:rPr>
        <w:t>.</w:t>
      </w:r>
    </w:p>
    <w:p>
      <w:pPr>
        <w:pStyle w:val="Normal"/>
        <w:spacing w:before="0" w:after="0"/>
        <w:jc w:val="both"/>
        <w:rPr>
          <w:rFonts w:ascii="Arial" w:hAnsi="Arial" w:cs="Arial"/>
          <w:sz w:val="20"/>
          <w:szCs w:val="20"/>
        </w:rPr>
      </w:pPr>
      <w:r>
        <w:rPr>
          <w:rFonts w:cs="Arial" w:ascii="Arial" w:hAnsi="Arial"/>
          <w:sz w:val="20"/>
          <w:szCs w:val="20"/>
        </w:rPr>
      </w:r>
    </w:p>
    <w:p>
      <w:pPr>
        <w:pStyle w:val="Normal"/>
        <w:spacing w:before="0" w:after="0"/>
        <w:jc w:val="both"/>
        <w:rPr>
          <w:rFonts w:ascii="Arial" w:hAnsi="Arial" w:cs="Arial"/>
          <w:b/>
          <w:b/>
          <w:sz w:val="20"/>
          <w:szCs w:val="20"/>
        </w:rPr>
      </w:pPr>
      <w:r>
        <w:rPr>
          <w:rFonts w:cs="Arial" w:ascii="Arial" w:hAnsi="Arial"/>
          <w:b/>
          <w:sz w:val="20"/>
          <w:szCs w:val="20"/>
        </w:rPr>
        <w:t xml:space="preserve">B – FAIT GENERATEUR </w:t>
      </w:r>
    </w:p>
    <w:p>
      <w:pPr>
        <w:pStyle w:val="Normal"/>
        <w:spacing w:before="0" w:after="0"/>
        <w:ind w:left="708" w:hanging="0"/>
        <w:jc w:val="both"/>
        <w:rPr>
          <w:rFonts w:ascii="Arial" w:hAnsi="Arial" w:cs="Arial"/>
          <w:sz w:val="20"/>
          <w:szCs w:val="20"/>
        </w:rPr>
      </w:pPr>
      <w:r>
        <w:rPr>
          <w:rFonts w:cs="Arial" w:ascii="Arial" w:hAnsi="Arial"/>
          <w:sz w:val="20"/>
          <w:szCs w:val="20"/>
        </w:rPr>
        <w:t xml:space="preserve">La taxe est due </w:t>
      </w:r>
      <w:r>
        <w:rPr>
          <w:rFonts w:cs="Arial" w:ascii="Arial" w:hAnsi="Arial"/>
          <w:b/>
          <w:sz w:val="20"/>
          <w:szCs w:val="20"/>
        </w:rPr>
        <w:t>sur les supports existants au 1</w:t>
      </w:r>
      <w:r>
        <w:rPr>
          <w:rFonts w:cs="Arial" w:ascii="Arial" w:hAnsi="Arial"/>
          <w:b/>
          <w:sz w:val="20"/>
          <w:szCs w:val="20"/>
          <w:vertAlign w:val="superscript"/>
        </w:rPr>
        <w:t>er</w:t>
      </w:r>
      <w:r>
        <w:rPr>
          <w:rFonts w:cs="Arial" w:ascii="Arial" w:hAnsi="Arial"/>
          <w:b/>
          <w:sz w:val="20"/>
          <w:szCs w:val="20"/>
        </w:rPr>
        <w:t xml:space="preserve"> janvier</w:t>
      </w:r>
      <w:r>
        <w:rPr>
          <w:rFonts w:cs="Arial" w:ascii="Arial" w:hAnsi="Arial"/>
          <w:sz w:val="20"/>
          <w:szCs w:val="20"/>
        </w:rPr>
        <w:t xml:space="preserve"> de l’année d’imposition, qui doivent être déclarés avant le 1</w:t>
      </w:r>
      <w:r>
        <w:rPr>
          <w:rFonts w:cs="Arial" w:ascii="Arial" w:hAnsi="Arial"/>
          <w:sz w:val="20"/>
          <w:szCs w:val="20"/>
          <w:vertAlign w:val="superscript"/>
        </w:rPr>
        <w:t>er</w:t>
      </w:r>
      <w:r>
        <w:rPr>
          <w:rFonts w:cs="Arial" w:ascii="Arial" w:hAnsi="Arial"/>
          <w:sz w:val="20"/>
          <w:szCs w:val="20"/>
        </w:rPr>
        <w:t xml:space="preserve"> mars de cette même année. </w:t>
      </w:r>
    </w:p>
    <w:p>
      <w:pPr>
        <w:pStyle w:val="Normal"/>
        <w:spacing w:before="0" w:after="0"/>
        <w:ind w:left="705" w:hanging="0"/>
        <w:jc w:val="both"/>
        <w:rPr>
          <w:rFonts w:ascii="Arial" w:hAnsi="Arial" w:cs="Arial"/>
          <w:sz w:val="20"/>
          <w:szCs w:val="20"/>
        </w:rPr>
      </w:pPr>
      <w:r>
        <w:rPr>
          <w:rFonts w:cs="Arial" w:ascii="Arial" w:hAnsi="Arial"/>
          <w:sz w:val="20"/>
          <w:szCs w:val="20"/>
        </w:rPr>
        <w:t xml:space="preserve">En outre, il est prévu une taxation au prorata temporis pour les supports créés ou supprimés au cours de l’année d’imposition : </w:t>
      </w:r>
    </w:p>
    <w:p>
      <w:pPr>
        <w:pStyle w:val="ListParagraph"/>
        <w:numPr>
          <w:ilvl w:val="0"/>
          <w:numId w:val="1"/>
        </w:numPr>
        <w:spacing w:before="0" w:after="0"/>
        <w:contextualSpacing/>
        <w:jc w:val="both"/>
        <w:rPr>
          <w:rFonts w:ascii="Arial" w:hAnsi="Arial" w:cs="Arial"/>
          <w:sz w:val="20"/>
          <w:szCs w:val="20"/>
        </w:rPr>
      </w:pPr>
      <w:r>
        <w:rPr>
          <w:rFonts w:cs="Arial" w:ascii="Arial" w:hAnsi="Arial"/>
          <w:sz w:val="20"/>
          <w:szCs w:val="20"/>
        </w:rPr>
        <w:t>Si le support est créé après le 1</w:t>
      </w:r>
      <w:r>
        <w:rPr>
          <w:rFonts w:cs="Arial" w:ascii="Arial" w:hAnsi="Arial"/>
          <w:sz w:val="20"/>
          <w:szCs w:val="20"/>
          <w:vertAlign w:val="superscript"/>
        </w:rPr>
        <w:t>er</w:t>
      </w:r>
      <w:r>
        <w:rPr>
          <w:rFonts w:cs="Arial" w:ascii="Arial" w:hAnsi="Arial"/>
          <w:sz w:val="20"/>
          <w:szCs w:val="20"/>
        </w:rPr>
        <w:t xml:space="preserve"> janvier, la taxation commence le 1</w:t>
      </w:r>
      <w:r>
        <w:rPr>
          <w:rFonts w:cs="Arial" w:ascii="Arial" w:hAnsi="Arial"/>
          <w:sz w:val="20"/>
          <w:szCs w:val="20"/>
          <w:vertAlign w:val="superscript"/>
        </w:rPr>
        <w:t>er</w:t>
      </w:r>
      <w:r>
        <w:rPr>
          <w:rFonts w:cs="Arial" w:ascii="Arial" w:hAnsi="Arial"/>
          <w:sz w:val="20"/>
          <w:szCs w:val="20"/>
        </w:rPr>
        <w:t xml:space="preserve"> jur du mois suivant (par exemple, le 1</w:t>
      </w:r>
      <w:r>
        <w:rPr>
          <w:rFonts w:cs="Arial" w:ascii="Arial" w:hAnsi="Arial"/>
          <w:sz w:val="20"/>
          <w:szCs w:val="20"/>
          <w:vertAlign w:val="superscript"/>
        </w:rPr>
        <w:t>er</w:t>
      </w:r>
      <w:r>
        <w:rPr>
          <w:rFonts w:cs="Arial" w:ascii="Arial" w:hAnsi="Arial"/>
          <w:sz w:val="20"/>
          <w:szCs w:val="20"/>
        </w:rPr>
        <w:t xml:space="preserve"> juin pour un support créé le 7 mai, soit sept mois de taxation pour la période du 1</w:t>
      </w:r>
      <w:r>
        <w:rPr>
          <w:rFonts w:cs="Arial" w:ascii="Arial" w:hAnsi="Arial"/>
          <w:sz w:val="20"/>
          <w:szCs w:val="20"/>
          <w:vertAlign w:val="superscript"/>
        </w:rPr>
        <w:t>er</w:t>
      </w:r>
      <w:r>
        <w:rPr>
          <w:rFonts w:cs="Arial" w:ascii="Arial" w:hAnsi="Arial"/>
          <w:sz w:val="20"/>
          <w:szCs w:val="20"/>
        </w:rPr>
        <w:t xml:space="preserve"> juin au 31 décembre)</w:t>
      </w:r>
    </w:p>
    <w:p>
      <w:pPr>
        <w:pStyle w:val="ListParagraph"/>
        <w:numPr>
          <w:ilvl w:val="0"/>
          <w:numId w:val="1"/>
        </w:numPr>
        <w:spacing w:before="0" w:after="0"/>
        <w:contextualSpacing/>
        <w:jc w:val="both"/>
        <w:rPr>
          <w:rFonts w:ascii="Arial" w:hAnsi="Arial" w:cs="Arial"/>
          <w:sz w:val="20"/>
          <w:szCs w:val="20"/>
        </w:rPr>
      </w:pPr>
      <w:r>
        <w:rPr>
          <w:rFonts w:cs="Arial" w:ascii="Arial" w:hAnsi="Arial"/>
          <w:sz w:val="20"/>
          <w:szCs w:val="20"/>
        </w:rPr>
        <w:t>Si le support est supprimé après le 1</w:t>
      </w:r>
      <w:r>
        <w:rPr>
          <w:rFonts w:cs="Arial" w:ascii="Arial" w:hAnsi="Arial"/>
          <w:sz w:val="20"/>
          <w:szCs w:val="20"/>
          <w:vertAlign w:val="superscript"/>
        </w:rPr>
        <w:t>er</w:t>
      </w:r>
      <w:r>
        <w:rPr>
          <w:rFonts w:cs="Arial" w:ascii="Arial" w:hAnsi="Arial"/>
          <w:sz w:val="20"/>
          <w:szCs w:val="20"/>
        </w:rPr>
        <w:t xml:space="preserve"> janvier, la taxation cesse le 1</w:t>
      </w:r>
      <w:r>
        <w:rPr>
          <w:rFonts w:cs="Arial" w:ascii="Arial" w:hAnsi="Arial"/>
          <w:sz w:val="20"/>
          <w:szCs w:val="20"/>
          <w:vertAlign w:val="superscript"/>
        </w:rPr>
        <w:t>er</w:t>
      </w:r>
      <w:r>
        <w:rPr>
          <w:rFonts w:cs="Arial" w:ascii="Arial" w:hAnsi="Arial"/>
          <w:sz w:val="20"/>
          <w:szCs w:val="20"/>
        </w:rPr>
        <w:t xml:space="preserve"> jour du mois suivant (par exemple un dispositif supprimé le 13 avril n’est plus taxé à compter du 1</w:t>
      </w:r>
      <w:r>
        <w:rPr>
          <w:rFonts w:cs="Arial" w:ascii="Arial" w:hAnsi="Arial"/>
          <w:sz w:val="20"/>
          <w:szCs w:val="20"/>
          <w:vertAlign w:val="superscript"/>
        </w:rPr>
        <w:t>er</w:t>
      </w:r>
      <w:r>
        <w:rPr>
          <w:rFonts w:cs="Arial" w:ascii="Arial" w:hAnsi="Arial"/>
          <w:sz w:val="20"/>
          <w:szCs w:val="20"/>
        </w:rPr>
        <w:t xml:space="preserve"> mai, soit quatre mois de taxation pour la période du 1</w:t>
      </w:r>
      <w:r>
        <w:rPr>
          <w:rFonts w:cs="Arial" w:ascii="Arial" w:hAnsi="Arial"/>
          <w:sz w:val="20"/>
          <w:szCs w:val="20"/>
          <w:vertAlign w:val="superscript"/>
        </w:rPr>
        <w:t>er</w:t>
      </w:r>
      <w:r>
        <w:rPr>
          <w:rFonts w:cs="Arial" w:ascii="Arial" w:hAnsi="Arial"/>
          <w:sz w:val="20"/>
          <w:szCs w:val="20"/>
        </w:rPr>
        <w:t xml:space="preserve"> janvier au 30 avril).</w:t>
      </w:r>
    </w:p>
    <w:p>
      <w:pPr>
        <w:pStyle w:val="ListParagraph"/>
        <w:spacing w:before="0" w:after="0"/>
        <w:ind w:left="1065" w:hanging="0"/>
        <w:contextualSpacing/>
        <w:jc w:val="both"/>
        <w:rPr>
          <w:rFonts w:ascii="Arial" w:hAnsi="Arial" w:cs="Arial"/>
          <w:sz w:val="20"/>
          <w:szCs w:val="20"/>
        </w:rPr>
      </w:pPr>
      <w:r>
        <w:rPr>
          <w:rFonts w:cs="Arial" w:ascii="Arial" w:hAnsi="Arial"/>
          <w:sz w:val="20"/>
          <w:szCs w:val="20"/>
        </w:rPr>
      </w:r>
    </w:p>
    <w:p>
      <w:pPr>
        <w:pStyle w:val="Normal"/>
        <w:pBdr>
          <w:top w:val="single" w:sz="4" w:space="1" w:color="000000"/>
          <w:left w:val="single" w:sz="4" w:space="4" w:color="000000"/>
          <w:bottom w:val="single" w:sz="4" w:space="1" w:color="000000"/>
          <w:right w:val="single" w:sz="4" w:space="4" w:color="000000"/>
        </w:pBdr>
        <w:spacing w:lineRule="auto" w:line="360" w:before="0" w:after="0"/>
        <w:jc w:val="both"/>
        <w:rPr>
          <w:rFonts w:ascii="Arial" w:hAnsi="Arial" w:cs="Arial"/>
          <w:sz w:val="20"/>
          <w:szCs w:val="20"/>
        </w:rPr>
      </w:pPr>
      <w:r>
        <w:rPr>
          <w:rFonts w:cs="Arial" w:ascii="Arial" w:hAnsi="Arial"/>
          <w:sz w:val="20"/>
          <w:szCs w:val="20"/>
        </w:rPr>
        <w:t>Le montant dû se calcule ainsi : [(superficie x tarif) x 12] x nombre de mois de taxation.</w:t>
      </w:r>
    </w:p>
    <w:p>
      <w:pPr>
        <w:pStyle w:val="Normal"/>
        <w:spacing w:lineRule="auto" w:line="240" w:before="0" w:after="0"/>
        <w:jc w:val="both"/>
        <w:rPr>
          <w:rFonts w:ascii="Arial" w:hAnsi="Arial" w:cs="Arial"/>
          <w:b/>
          <w:b/>
          <w:sz w:val="20"/>
          <w:szCs w:val="20"/>
        </w:rPr>
      </w:pPr>
      <w:r>
        <w:rPr>
          <w:rFonts w:cs="Arial" w:ascii="Arial" w:hAnsi="Arial"/>
          <w:b/>
          <w:sz w:val="20"/>
          <w:szCs w:val="20"/>
        </w:rPr>
      </w:r>
    </w:p>
    <w:p>
      <w:pPr>
        <w:pStyle w:val="Normal"/>
        <w:spacing w:lineRule="auto" w:line="240" w:before="0" w:after="0"/>
        <w:jc w:val="both"/>
        <w:rPr>
          <w:rFonts w:ascii="Arial" w:hAnsi="Arial" w:cs="Arial"/>
          <w:b/>
          <w:b/>
          <w:sz w:val="20"/>
          <w:szCs w:val="20"/>
        </w:rPr>
      </w:pPr>
      <w:r>
        <w:rPr>
          <w:rFonts w:cs="Arial" w:ascii="Arial" w:hAnsi="Arial"/>
          <w:b/>
          <w:sz w:val="20"/>
          <w:szCs w:val="20"/>
        </w:rPr>
        <w:t>C – MODALITES DE DECLARATION, LIQUIDATION ET RECOUVREMENT DE LA TAXE</w:t>
      </w:r>
    </w:p>
    <w:p>
      <w:pPr>
        <w:pStyle w:val="Normal"/>
        <w:spacing w:lineRule="auto" w:line="240" w:before="0" w:after="0"/>
        <w:ind w:left="708" w:hanging="0"/>
        <w:jc w:val="both"/>
        <w:rPr>
          <w:rFonts w:ascii="Arial" w:hAnsi="Arial" w:cs="Arial"/>
          <w:sz w:val="20"/>
          <w:szCs w:val="20"/>
        </w:rPr>
      </w:pPr>
      <w:r>
        <w:rPr>
          <w:rFonts w:cs="Arial" w:ascii="Arial" w:hAnsi="Arial"/>
          <w:sz w:val="20"/>
          <w:szCs w:val="20"/>
        </w:rPr>
        <w:t xml:space="preserve">La taxe est payable sur la base d’une </w:t>
      </w:r>
      <w:r>
        <w:rPr>
          <w:rFonts w:cs="Arial" w:ascii="Arial" w:hAnsi="Arial"/>
          <w:b/>
          <w:sz w:val="20"/>
          <w:szCs w:val="20"/>
          <w:u w:val="single"/>
        </w:rPr>
        <w:t>déclaration annuelle</w:t>
      </w:r>
      <w:r>
        <w:rPr>
          <w:rFonts w:cs="Arial" w:ascii="Arial" w:hAnsi="Arial"/>
          <w:sz w:val="20"/>
          <w:szCs w:val="20"/>
        </w:rPr>
        <w:t xml:space="preserve"> à la collectivité, qui doit être effectuée avant le 1</w:t>
      </w:r>
      <w:r>
        <w:rPr>
          <w:rFonts w:cs="Arial" w:ascii="Arial" w:hAnsi="Arial"/>
          <w:sz w:val="20"/>
          <w:szCs w:val="20"/>
          <w:vertAlign w:val="superscript"/>
        </w:rPr>
        <w:t>er</w:t>
      </w:r>
      <w:r>
        <w:rPr>
          <w:rFonts w:cs="Arial" w:ascii="Arial" w:hAnsi="Arial"/>
          <w:sz w:val="20"/>
          <w:szCs w:val="20"/>
        </w:rPr>
        <w:t xml:space="preserve"> mars de l’année d’imposition pour les seuls </w:t>
      </w:r>
      <w:r>
        <w:rPr>
          <w:rFonts w:cs="Arial" w:ascii="Arial" w:hAnsi="Arial"/>
          <w:b/>
          <w:sz w:val="20"/>
          <w:szCs w:val="20"/>
          <w:u w:val="single"/>
        </w:rPr>
        <w:t>supports existants au 1</w:t>
      </w:r>
      <w:r>
        <w:rPr>
          <w:rFonts w:cs="Arial" w:ascii="Arial" w:hAnsi="Arial"/>
          <w:b/>
          <w:sz w:val="20"/>
          <w:szCs w:val="20"/>
          <w:u w:val="single"/>
          <w:vertAlign w:val="superscript"/>
        </w:rPr>
        <w:t>er</w:t>
      </w:r>
      <w:r>
        <w:rPr>
          <w:rFonts w:cs="Arial" w:ascii="Arial" w:hAnsi="Arial"/>
          <w:b/>
          <w:sz w:val="20"/>
          <w:szCs w:val="20"/>
          <w:u w:val="single"/>
        </w:rPr>
        <w:t xml:space="preserve"> janvier</w:t>
      </w:r>
      <w:r>
        <w:rPr>
          <w:rFonts w:cs="Arial" w:ascii="Arial" w:hAnsi="Arial"/>
          <w:sz w:val="20"/>
          <w:szCs w:val="20"/>
        </w:rPr>
        <w:t xml:space="preserve">. </w:t>
      </w:r>
    </w:p>
    <w:p>
      <w:pPr>
        <w:pStyle w:val="Normal"/>
        <w:spacing w:lineRule="auto" w:line="240" w:before="0" w:after="0"/>
        <w:ind w:left="708" w:hanging="0"/>
        <w:jc w:val="both"/>
        <w:rPr>
          <w:rFonts w:ascii="Arial" w:hAnsi="Arial" w:cs="Arial"/>
          <w:sz w:val="20"/>
          <w:szCs w:val="20"/>
        </w:rPr>
      </w:pPr>
      <w:r>
        <w:rPr>
          <w:rFonts w:cs="Arial" w:ascii="Arial" w:hAnsi="Arial"/>
          <w:sz w:val="20"/>
          <w:szCs w:val="20"/>
        </w:rPr>
      </w:r>
    </w:p>
    <w:p>
      <w:pPr>
        <w:pStyle w:val="Normal"/>
        <w:spacing w:lineRule="auto" w:line="240" w:before="0" w:after="0"/>
        <w:ind w:left="708" w:hanging="0"/>
        <w:jc w:val="both"/>
        <w:rPr>
          <w:rFonts w:ascii="Arial" w:hAnsi="Arial" w:cs="Arial"/>
          <w:b/>
          <w:b/>
          <w:sz w:val="20"/>
          <w:szCs w:val="20"/>
          <w:u w:val="single"/>
        </w:rPr>
      </w:pPr>
      <w:r>
        <w:rPr>
          <w:rFonts w:cs="Arial" w:ascii="Arial" w:hAnsi="Arial"/>
          <w:sz w:val="20"/>
          <w:szCs w:val="20"/>
        </w:rPr>
        <w:t>Les supports créés ou supprimés en cours d’année (entre le 1</w:t>
      </w:r>
      <w:r>
        <w:rPr>
          <w:rFonts w:cs="Arial" w:ascii="Arial" w:hAnsi="Arial"/>
          <w:sz w:val="20"/>
          <w:szCs w:val="20"/>
          <w:vertAlign w:val="superscript"/>
        </w:rPr>
        <w:t>er</w:t>
      </w:r>
      <w:r>
        <w:rPr>
          <w:rFonts w:cs="Arial" w:ascii="Arial" w:hAnsi="Arial"/>
          <w:sz w:val="20"/>
          <w:szCs w:val="20"/>
        </w:rPr>
        <w:t xml:space="preserve"> janvier et le 31 décembre) font l’objet de </w:t>
      </w:r>
      <w:r>
        <w:rPr>
          <w:rFonts w:cs="Arial" w:ascii="Arial" w:hAnsi="Arial"/>
          <w:b/>
          <w:sz w:val="20"/>
          <w:szCs w:val="20"/>
          <w:u w:val="single"/>
        </w:rPr>
        <w:t>déclarations supplémentaires</w:t>
      </w:r>
      <w:r>
        <w:rPr>
          <w:rFonts w:cs="Arial" w:ascii="Arial" w:hAnsi="Arial"/>
          <w:sz w:val="20"/>
          <w:szCs w:val="20"/>
        </w:rPr>
        <w:t xml:space="preserve">, qui doivent être effectuées </w:t>
      </w:r>
      <w:r>
        <w:rPr>
          <w:rFonts w:cs="Arial" w:ascii="Arial" w:hAnsi="Arial"/>
          <w:b/>
          <w:sz w:val="20"/>
          <w:szCs w:val="20"/>
          <w:u w:val="single"/>
        </w:rPr>
        <w:t>dans les deux mois suivants la création ou la suppression.</w:t>
      </w:r>
    </w:p>
    <w:p>
      <w:pPr>
        <w:pStyle w:val="Normal"/>
        <w:spacing w:lineRule="auto" w:line="240" w:before="0" w:after="0"/>
        <w:ind w:left="708" w:hanging="0"/>
        <w:jc w:val="both"/>
        <w:rPr>
          <w:rFonts w:ascii="Arial" w:hAnsi="Arial" w:cs="Arial"/>
          <w:sz w:val="20"/>
          <w:szCs w:val="20"/>
        </w:rPr>
      </w:pPr>
      <w:r>
        <w:rPr>
          <w:rFonts w:cs="Arial" w:ascii="Arial" w:hAnsi="Arial"/>
          <w:sz w:val="20"/>
          <w:szCs w:val="20"/>
        </w:rPr>
        <w:t xml:space="preserve">La taxation d’un support installé en cours d’année ne començant que le mois suivant son installation, </w:t>
      </w:r>
      <w:r>
        <w:rPr>
          <w:rFonts w:cs="Arial" w:ascii="Arial" w:hAnsi="Arial"/>
          <w:b/>
          <w:sz w:val="20"/>
          <w:szCs w:val="20"/>
          <w:u w:val="single"/>
        </w:rPr>
        <w:t>pour être taxé au titre de l’année N, un support doit être installé au pls tard le 30 novembre N.</w:t>
      </w:r>
      <w:r>
        <w:rPr>
          <w:rFonts w:cs="Arial" w:ascii="Arial" w:hAnsi="Arial"/>
          <w:sz w:val="20"/>
          <w:szCs w:val="20"/>
        </w:rPr>
        <w:t xml:space="preserve"> La déclaration supplémentaire pourra être déposée jusqu’au 31 janvier N + 1. Un support installé en décembre N ne pourra être taxé au titre de l’année N ; il ne fera pas l’objet d’une déclaration supplémentaire et ne sera taxé qu’au titre de l’année N + 1.</w:t>
      </w:r>
    </w:p>
    <w:p>
      <w:pPr>
        <w:pStyle w:val="Normal"/>
        <w:spacing w:lineRule="auto" w:line="240" w:before="0" w:after="0"/>
        <w:ind w:left="708" w:hanging="0"/>
        <w:jc w:val="both"/>
        <w:rPr>
          <w:rFonts w:ascii="Arial" w:hAnsi="Arial" w:cs="Arial"/>
          <w:sz w:val="20"/>
          <w:szCs w:val="20"/>
        </w:rPr>
      </w:pPr>
      <w:r>
        <w:rPr>
          <w:rFonts w:cs="Arial" w:ascii="Arial" w:hAnsi="Arial"/>
          <w:sz w:val="20"/>
          <w:szCs w:val="20"/>
        </w:rPr>
      </w:r>
    </w:p>
    <w:p>
      <w:pPr>
        <w:pStyle w:val="Normal"/>
        <w:spacing w:lineRule="auto" w:line="240" w:before="0" w:after="0"/>
        <w:ind w:left="708" w:hanging="0"/>
        <w:jc w:val="both"/>
        <w:rPr>
          <w:rFonts w:ascii="Arial" w:hAnsi="Arial" w:cs="Arial"/>
          <w:sz w:val="20"/>
          <w:szCs w:val="20"/>
        </w:rPr>
      </w:pPr>
      <w:r>
        <w:rPr>
          <w:rFonts w:cs="Arial" w:ascii="Arial" w:hAnsi="Arial"/>
          <w:b/>
          <w:sz w:val="20"/>
          <w:szCs w:val="20"/>
          <w:u w:val="single"/>
        </w:rPr>
        <w:t>Le recouvrement de la taxe ne peut être opéré qu’à compter du 1</w:t>
      </w:r>
      <w:r>
        <w:rPr>
          <w:rFonts w:cs="Arial" w:ascii="Arial" w:hAnsi="Arial"/>
          <w:b/>
          <w:sz w:val="20"/>
          <w:szCs w:val="20"/>
          <w:u w:val="single"/>
          <w:vertAlign w:val="superscript"/>
        </w:rPr>
        <w:t>er</w:t>
      </w:r>
      <w:r>
        <w:rPr>
          <w:rFonts w:cs="Arial" w:ascii="Arial" w:hAnsi="Arial"/>
          <w:b/>
          <w:sz w:val="20"/>
          <w:szCs w:val="20"/>
          <w:u w:val="single"/>
        </w:rPr>
        <w:t xml:space="preserve"> septembre de l’année d’imposition</w:t>
      </w:r>
      <w:r>
        <w:rPr>
          <w:rFonts w:cs="Arial" w:ascii="Arial" w:hAnsi="Arial"/>
          <w:sz w:val="20"/>
          <w:szCs w:val="20"/>
        </w:rPr>
        <w:t>. Un avis des sommes à payer établi sur la base des déclarations sera transmis à chaque redevable. Le paiement correspondant devra être adressé à la Trésorerie Municipale avec mention de la référence de l’avis des sommes à payer.</w:t>
      </w:r>
    </w:p>
    <w:p>
      <w:pPr>
        <w:pStyle w:val="Normal"/>
        <w:spacing w:lineRule="auto" w:line="360" w:before="0" w:after="0"/>
        <w:ind w:left="708" w:hanging="0"/>
        <w:jc w:val="both"/>
        <w:rPr>
          <w:rFonts w:ascii="Arial" w:hAnsi="Arial" w:cs="Arial"/>
          <w:sz w:val="20"/>
          <w:szCs w:val="20"/>
        </w:rPr>
      </w:pPr>
      <w:r>
        <w:rPr>
          <w:rFonts w:cs="Arial" w:ascii="Arial" w:hAnsi="Arial"/>
          <w:sz w:val="20"/>
          <w:szCs w:val="20"/>
        </w:rPr>
      </w:r>
    </w:p>
    <w:p>
      <w:pPr>
        <w:pStyle w:val="Normal"/>
        <w:spacing w:lineRule="auto" w:line="360" w:before="0" w:after="0"/>
        <w:ind w:left="708" w:hanging="0"/>
        <w:jc w:val="both"/>
        <w:rPr>
          <w:rFonts w:ascii="Arial" w:hAnsi="Arial" w:cs="Arial"/>
          <w:sz w:val="20"/>
          <w:szCs w:val="20"/>
        </w:rPr>
      </w:pPr>
      <w:r>
        <w:rPr>
          <w:rFonts w:cs="Arial" w:ascii="Arial" w:hAnsi="Arial"/>
          <w:sz w:val="20"/>
          <w:szCs w:val="20"/>
        </w:rPr>
        <w:t xml:space="preserve">La déclaration annuelle effectuée par le redevable doit </w:t>
      </w:r>
      <w:r>
        <w:rPr>
          <w:rFonts w:cs="Arial" w:ascii="Arial" w:hAnsi="Arial"/>
          <w:b/>
          <w:sz w:val="20"/>
          <w:szCs w:val="20"/>
          <w:u w:val="single"/>
        </w:rPr>
        <w:t>obligatoirement être datée et signée et contenir les éléments suivants</w:t>
      </w:r>
      <w:r>
        <w:rPr>
          <w:rFonts w:cs="Arial" w:ascii="Arial" w:hAnsi="Arial"/>
          <w:sz w:val="20"/>
          <w:szCs w:val="20"/>
        </w:rPr>
        <w:t xml:space="preserve"> (voir modèle de déclaration joint) :</w:t>
      </w:r>
    </w:p>
    <w:p>
      <w:pPr>
        <w:pStyle w:val="Normal"/>
        <w:spacing w:lineRule="auto" w:line="360" w:before="0" w:after="0"/>
        <w:ind w:left="708" w:hanging="0"/>
        <w:jc w:val="both"/>
        <w:rPr>
          <w:rFonts w:ascii="Arial" w:hAnsi="Arial" w:cs="Arial"/>
          <w:sz w:val="20"/>
          <w:szCs w:val="20"/>
        </w:rPr>
      </w:pPr>
      <w:r>
        <w:rPr>
          <w:rFonts w:cs="Arial" w:ascii="Arial" w:hAnsi="Arial"/>
          <w:sz w:val="20"/>
          <w:szCs w:val="20"/>
        </w:rPr>
        <w:t xml:space="preserve">1° les noms, prénoms ou raison sociale, le domicile ou le siège social du redevable. En outre, pour les sociétés, le numéro SIRET et le code APE devront être mentionnés. </w:t>
      </w:r>
    </w:p>
    <w:p>
      <w:pPr>
        <w:pStyle w:val="Normal"/>
        <w:spacing w:lineRule="auto" w:line="360" w:before="0" w:after="0"/>
        <w:ind w:left="708" w:hanging="0"/>
        <w:jc w:val="both"/>
        <w:rPr>
          <w:rFonts w:ascii="Arial" w:hAnsi="Arial" w:cs="Arial"/>
          <w:sz w:val="20"/>
          <w:szCs w:val="20"/>
        </w:rPr>
      </w:pPr>
      <w:r>
        <w:rPr>
          <w:rFonts w:cs="Arial" w:ascii="Arial" w:hAnsi="Arial"/>
          <w:sz w:val="20"/>
          <w:szCs w:val="20"/>
        </w:rPr>
        <w:t>2° la nature et le nombre de chaque support publicitaire installé sur le territoire de la commune au 1</w:t>
      </w:r>
      <w:r>
        <w:rPr>
          <w:rFonts w:cs="Arial" w:ascii="Arial" w:hAnsi="Arial"/>
          <w:sz w:val="20"/>
          <w:szCs w:val="20"/>
          <w:vertAlign w:val="superscript"/>
        </w:rPr>
        <w:t>er</w:t>
      </w:r>
      <w:r>
        <w:rPr>
          <w:rFonts w:cs="Arial" w:ascii="Arial" w:hAnsi="Arial"/>
          <w:sz w:val="20"/>
          <w:szCs w:val="20"/>
        </w:rPr>
        <w:t xml:space="preserve"> janvier de l’année d’imposition</w:t>
      </w:r>
    </w:p>
    <w:p>
      <w:pPr>
        <w:pStyle w:val="Normal"/>
        <w:spacing w:lineRule="auto" w:line="360" w:before="0" w:after="0"/>
        <w:ind w:left="708" w:hanging="0"/>
        <w:jc w:val="both"/>
        <w:rPr>
          <w:rFonts w:ascii="Arial" w:hAnsi="Arial" w:cs="Arial"/>
          <w:sz w:val="20"/>
          <w:szCs w:val="20"/>
        </w:rPr>
      </w:pPr>
      <w:r>
        <w:rPr>
          <w:rFonts w:cs="Arial" w:ascii="Arial" w:hAnsi="Arial"/>
          <w:sz w:val="20"/>
          <w:szCs w:val="20"/>
        </w:rPr>
        <w:t>3° la superficie imposable de chaque supports</w:t>
      </w:r>
    </w:p>
    <w:p>
      <w:pPr>
        <w:pStyle w:val="Normal"/>
        <w:spacing w:lineRule="auto" w:line="360" w:before="0" w:after="0"/>
        <w:ind w:left="708" w:hanging="0"/>
        <w:jc w:val="both"/>
        <w:rPr>
          <w:rFonts w:ascii="Arial" w:hAnsi="Arial" w:cs="Arial"/>
          <w:sz w:val="20"/>
          <w:szCs w:val="20"/>
        </w:rPr>
      </w:pPr>
      <w:r>
        <w:rPr>
          <w:rFonts w:cs="Arial" w:ascii="Arial" w:hAnsi="Arial"/>
          <w:sz w:val="20"/>
          <w:szCs w:val="20"/>
        </w:rPr>
        <w:t>4° le tarif applicable au mètre carré à chaque support</w:t>
      </w:r>
    </w:p>
    <w:p>
      <w:pPr>
        <w:pStyle w:val="Normal"/>
        <w:spacing w:lineRule="auto" w:line="360" w:before="0" w:after="0"/>
        <w:ind w:left="708" w:hanging="0"/>
        <w:jc w:val="both"/>
        <w:rPr>
          <w:rFonts w:ascii="Arial" w:hAnsi="Arial" w:cs="Arial"/>
          <w:sz w:val="20"/>
          <w:szCs w:val="20"/>
        </w:rPr>
      </w:pPr>
      <w:r>
        <w:rPr>
          <w:rFonts w:cs="Arial" w:ascii="Arial" w:hAnsi="Arial"/>
          <w:sz w:val="20"/>
          <w:szCs w:val="20"/>
        </w:rPr>
        <w:t>5° les éventuelles réfactions ou exonérations applicables à chaque support</w:t>
      </w:r>
    </w:p>
    <w:p>
      <w:pPr>
        <w:pStyle w:val="Normal"/>
        <w:spacing w:lineRule="auto" w:line="360" w:before="0" w:after="0"/>
        <w:ind w:left="708" w:hanging="0"/>
        <w:jc w:val="both"/>
        <w:rPr>
          <w:rFonts w:ascii="Arial" w:hAnsi="Arial" w:cs="Arial"/>
          <w:sz w:val="20"/>
          <w:szCs w:val="20"/>
        </w:rPr>
      </w:pPr>
      <w:r>
        <w:rPr>
          <w:rFonts w:cs="Arial" w:ascii="Arial" w:hAnsi="Arial"/>
          <w:sz w:val="20"/>
          <w:szCs w:val="20"/>
        </w:rPr>
        <w:t>6° le calcul du montant de la taxe à acquitter pour chaque support et le montant total dû au titre des supports installés sur le territoire de la commune au 1</w:t>
      </w:r>
      <w:r>
        <w:rPr>
          <w:rFonts w:cs="Arial" w:ascii="Arial" w:hAnsi="Arial"/>
          <w:sz w:val="20"/>
          <w:szCs w:val="20"/>
          <w:vertAlign w:val="superscript"/>
        </w:rPr>
        <w:t>er</w:t>
      </w:r>
      <w:r>
        <w:rPr>
          <w:rFonts w:cs="Arial" w:ascii="Arial" w:hAnsi="Arial"/>
          <w:sz w:val="20"/>
          <w:szCs w:val="20"/>
        </w:rPr>
        <w:t xml:space="preserve"> janvier</w:t>
      </w:r>
    </w:p>
    <w:p>
      <w:pPr>
        <w:pStyle w:val="Normal"/>
        <w:spacing w:lineRule="auto" w:line="360" w:before="0" w:after="0"/>
        <w:jc w:val="both"/>
        <w:rPr>
          <w:rFonts w:ascii="Arial" w:hAnsi="Arial" w:cs="Arial"/>
          <w:b/>
          <w:b/>
          <w:sz w:val="20"/>
          <w:szCs w:val="20"/>
          <w:u w:val="single"/>
        </w:rPr>
      </w:pPr>
      <w:r>
        <w:rPr>
          <w:rFonts w:cs="Arial" w:ascii="Arial" w:hAnsi="Arial"/>
          <w:b/>
          <w:sz w:val="20"/>
          <w:szCs w:val="20"/>
          <w:u w:val="single"/>
        </w:rPr>
      </w:r>
    </w:p>
    <w:p>
      <w:pPr>
        <w:pStyle w:val="Normal"/>
        <w:spacing w:lineRule="auto" w:line="360" w:before="0" w:after="0"/>
        <w:jc w:val="both"/>
        <w:rPr>
          <w:rFonts w:ascii="Arial" w:hAnsi="Arial" w:cs="Arial"/>
          <w:b/>
          <w:b/>
          <w:sz w:val="20"/>
          <w:szCs w:val="20"/>
          <w:u w:val="single"/>
        </w:rPr>
      </w:pPr>
      <w:r>
        <w:rPr>
          <w:rFonts w:cs="Arial" w:ascii="Arial" w:hAnsi="Arial"/>
          <w:b/>
          <w:sz w:val="20"/>
          <w:szCs w:val="20"/>
          <w:u w:val="single"/>
        </w:rPr>
        <w:t>V – CONTROLE ET SANCTIONS</w:t>
      </w:r>
    </w:p>
    <w:p>
      <w:pPr>
        <w:pStyle w:val="Normal"/>
        <w:spacing w:lineRule="auto" w:line="360" w:before="0" w:after="0"/>
        <w:jc w:val="both"/>
        <w:rPr>
          <w:rFonts w:ascii="Arial" w:hAnsi="Arial" w:cs="Arial"/>
          <w:sz w:val="20"/>
          <w:szCs w:val="20"/>
        </w:rPr>
      </w:pPr>
      <w:r>
        <w:rPr>
          <w:rFonts w:cs="Arial" w:ascii="Arial" w:hAnsi="Arial"/>
          <w:sz w:val="20"/>
          <w:szCs w:val="20"/>
        </w:rPr>
        <w:tab/>
        <w:t xml:space="preserve">Les collectivités peuvent recourir aux agents de la force publiques pour : </w:t>
      </w:r>
    </w:p>
    <w:p>
      <w:pPr>
        <w:pStyle w:val="ListParagraph"/>
        <w:numPr>
          <w:ilvl w:val="0"/>
          <w:numId w:val="1"/>
        </w:numPr>
        <w:spacing w:lineRule="auto" w:line="240" w:before="0" w:after="0"/>
        <w:contextualSpacing/>
        <w:jc w:val="both"/>
        <w:rPr>
          <w:rFonts w:ascii="Arial" w:hAnsi="Arial" w:cs="Arial"/>
          <w:sz w:val="20"/>
          <w:szCs w:val="20"/>
        </w:rPr>
      </w:pPr>
      <w:r>
        <w:rPr>
          <w:rFonts w:cs="Arial" w:ascii="Arial" w:hAnsi="Arial"/>
          <w:sz w:val="20"/>
          <w:szCs w:val="20"/>
        </w:rPr>
        <w:t>Assurer le contrôle de la taxe</w:t>
      </w:r>
    </w:p>
    <w:p>
      <w:pPr>
        <w:pStyle w:val="ListParagraph"/>
        <w:numPr>
          <w:ilvl w:val="0"/>
          <w:numId w:val="1"/>
        </w:numPr>
        <w:spacing w:lineRule="auto" w:line="240" w:before="0" w:after="0"/>
        <w:contextualSpacing/>
        <w:jc w:val="both"/>
        <w:rPr>
          <w:rFonts w:ascii="Arial" w:hAnsi="Arial" w:cs="Arial"/>
          <w:sz w:val="20"/>
          <w:szCs w:val="20"/>
        </w:rPr>
      </w:pPr>
      <w:r>
        <w:rPr>
          <w:rFonts w:cs="Arial" w:ascii="Arial" w:hAnsi="Arial"/>
          <w:sz w:val="20"/>
          <w:szCs w:val="20"/>
        </w:rPr>
        <w:t>Constater les contraventions</w:t>
      </w:r>
    </w:p>
    <w:p>
      <w:pPr>
        <w:pStyle w:val="Normal"/>
        <w:spacing w:lineRule="auto" w:line="240" w:before="0" w:after="0"/>
        <w:ind w:left="705" w:hanging="0"/>
        <w:jc w:val="both"/>
        <w:rPr>
          <w:rFonts w:ascii="Arial" w:hAnsi="Arial" w:cs="Arial"/>
          <w:sz w:val="20"/>
          <w:szCs w:val="20"/>
        </w:rPr>
      </w:pPr>
      <w:r>
        <w:rPr>
          <w:rFonts w:cs="Arial" w:ascii="Arial" w:hAnsi="Arial"/>
          <w:sz w:val="20"/>
          <w:szCs w:val="20"/>
        </w:rPr>
        <w:t xml:space="preserve">Une contravention de 4° classe (750 €) s’applique en cas de non-déclaration, de déclaration hors délai, u de déclaration inexacte ou incomplète. Chaque support donne lieu à une infraction distincte. </w:t>
      </w:r>
    </w:p>
    <w:p>
      <w:pPr>
        <w:pStyle w:val="Normal"/>
        <w:spacing w:lineRule="auto" w:line="240" w:before="0" w:after="0"/>
        <w:ind w:left="705" w:hanging="0"/>
        <w:jc w:val="both"/>
        <w:rPr>
          <w:rFonts w:ascii="Arial" w:hAnsi="Arial" w:cs="Arial"/>
          <w:sz w:val="20"/>
          <w:szCs w:val="20"/>
        </w:rPr>
      </w:pPr>
      <w:r>
        <w:rPr>
          <w:rFonts w:cs="Arial" w:ascii="Arial" w:hAnsi="Arial"/>
          <w:sz w:val="20"/>
          <w:szCs w:val="20"/>
        </w:rPr>
        <w:t xml:space="preserve">En cas d’omission ou d’inexactitude dans la déclaration, le maire peut mettre en demeure l’exploitant de la mettre en conformité ; celui-ci dispose de 30 jours pour faire valoir ses arguments. </w:t>
      </w:r>
    </w:p>
    <w:p>
      <w:pPr>
        <w:pStyle w:val="Normal"/>
        <w:spacing w:lineRule="auto" w:line="240" w:before="0" w:after="0"/>
        <w:ind w:left="705" w:hanging="0"/>
        <w:jc w:val="both"/>
        <w:rPr>
          <w:rFonts w:ascii="Arial" w:hAnsi="Arial" w:cs="Arial"/>
          <w:sz w:val="20"/>
          <w:szCs w:val="20"/>
        </w:rPr>
      </w:pPr>
      <w:r>
        <w:rPr>
          <w:rFonts w:cs="Arial" w:ascii="Arial" w:hAnsi="Arial"/>
          <w:sz w:val="20"/>
          <w:szCs w:val="20"/>
        </w:rPr>
        <w:t xml:space="preserve">En cas d’absence de déclaration l’exploitant  est mis en demeure de la produire dans les 30 jours. A défaut un avis de taxation d’office lui est envoyé, avec un nouveau délai de 30 jours pour faire valoir ses observations. </w:t>
      </w:r>
    </w:p>
    <w:p>
      <w:pPr>
        <w:pStyle w:val="Normal"/>
        <w:pBdr>
          <w:top w:val="single" w:sz="4" w:space="1" w:color="000000"/>
          <w:left w:val="single" w:sz="4" w:space="4" w:color="000000"/>
          <w:bottom w:val="single" w:sz="4" w:space="1" w:color="000000"/>
          <w:right w:val="single" w:sz="4" w:space="4" w:color="000000"/>
        </w:pBdr>
        <w:spacing w:lineRule="auto" w:line="240" w:before="0" w:after="0"/>
        <w:jc w:val="both"/>
        <w:rPr>
          <w:rFonts w:ascii="Arial" w:hAnsi="Arial" w:cs="Arial"/>
          <w:b/>
          <w:b/>
          <w:sz w:val="20"/>
          <w:szCs w:val="20"/>
        </w:rPr>
      </w:pPr>
      <w:r>
        <w:rPr>
          <w:rFonts w:cs="Arial" w:ascii="Arial" w:hAnsi="Arial"/>
          <w:b/>
          <w:sz w:val="20"/>
          <w:szCs w:val="20"/>
          <w:u w:val="single"/>
        </w:rPr>
        <w:t>Important :</w:t>
      </w:r>
      <w:r>
        <w:rPr>
          <w:rFonts w:cs="Arial" w:ascii="Arial" w:hAnsi="Arial"/>
          <w:b/>
          <w:sz w:val="20"/>
          <w:szCs w:val="20"/>
        </w:rPr>
        <w:t xml:space="preserve"> les obligations déclaratives précédemment énumérées sont inhérentes à la taxation à la TLPE. La commune ne dispose pas d’un règlement local de publicité par conséquent l’installation, le remplacement ou la modification des dispositifs ou matériels qui supportent la publicité doivent être précédés du dépôt à la DDTM du Var, d’un dossier d’autorisation d’installation d’enseigne conforme à la règlementation nationale. </w:t>
      </w:r>
    </w:p>
    <w:p>
      <w:pPr>
        <w:pStyle w:val="Normal"/>
        <w:spacing w:lineRule="auto" w:line="240" w:before="0" w:after="0"/>
        <w:jc w:val="both"/>
        <w:rPr>
          <w:rFonts w:ascii="Arial" w:hAnsi="Arial" w:cs="Arial"/>
          <w:sz w:val="20"/>
          <w:szCs w:val="20"/>
        </w:rPr>
      </w:pPr>
      <w:r>
        <w:rPr>
          <w:rFonts w:cs="Arial" w:ascii="Arial" w:hAnsi="Arial"/>
          <w:sz w:val="20"/>
          <w:szCs w:val="20"/>
        </w:rPr>
      </w:r>
    </w:p>
    <w:p>
      <w:pPr>
        <w:pStyle w:val="Normal"/>
        <w:spacing w:before="0" w:after="0"/>
        <w:jc w:val="both"/>
        <w:rPr>
          <w:rFonts w:ascii="Arial" w:hAnsi="Arial" w:cs="Arial"/>
          <w:sz w:val="20"/>
          <w:szCs w:val="20"/>
        </w:rPr>
      </w:pPr>
      <w:r>
        <w:rPr/>
      </w:r>
    </w:p>
    <w:sectPr>
      <w:headerReference w:type="default" r:id="rId3"/>
      <w:type w:val="nextPage"/>
      <w:pgSz w:w="11906" w:h="16838"/>
      <w:pgMar w:left="851" w:right="851" w:header="851" w:top="908" w:footer="0" w:bottom="28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Arial">
    <w:charset w:val="01"/>
    <w:family w:val="swiss"/>
    <w:pitch w:val="variable"/>
  </w:font>
  <w:font w:name="Bauhaus 93">
    <w:charset w:val="00"/>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rFonts w:ascii="Times New Roman" w:hAnsi="Times New Roman"/>
        <w:b/>
        <w:b/>
        <w:sz w:val="24"/>
      </w:rPr>
    </w:pPr>
    <w:r>
      <w:rPr/>
      <w:t xml:space="preserve">               </w:t>
    </w:r>
    <w:r>
      <w:rPr>
        <w:rFonts w:ascii="Bauhaus 93" w:hAnsi="Bauhaus 93"/>
        <w:b/>
        <w:sz w:val="40"/>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1065" w:hanging="360"/>
      </w:pPr>
      <w:rPr>
        <w:rFonts w:ascii="Calibri" w:hAnsi="Calibri" w:cs="Calibri" w:hint="default"/>
      </w:rPr>
    </w:lvl>
    <w:lvl w:ilvl="1">
      <w:start w:val="1"/>
      <w:numFmt w:val="bullet"/>
      <w:lvlText w:val="o"/>
      <w:lvlJc w:val="left"/>
      <w:pPr>
        <w:tabs>
          <w:tab w:val="num" w:pos="0"/>
        </w:tabs>
        <w:ind w:left="1785" w:hanging="360"/>
      </w:pPr>
      <w:rPr>
        <w:rFonts w:ascii="Courier New" w:hAnsi="Courier New" w:cs="Courier New" w:hint="default"/>
      </w:rPr>
    </w:lvl>
    <w:lvl w:ilvl="2">
      <w:start w:val="1"/>
      <w:numFmt w:val="bullet"/>
      <w:lvlText w:val=""/>
      <w:lvlJc w:val="left"/>
      <w:pPr>
        <w:tabs>
          <w:tab w:val="num" w:pos="0"/>
        </w:tabs>
        <w:ind w:left="2505" w:hanging="360"/>
      </w:pPr>
      <w:rPr>
        <w:rFonts w:ascii="Wingdings" w:hAnsi="Wingdings" w:cs="Wingdings" w:hint="default"/>
      </w:rPr>
    </w:lvl>
    <w:lvl w:ilvl="3">
      <w:start w:val="1"/>
      <w:numFmt w:val="bullet"/>
      <w:lvlText w:val=""/>
      <w:lvlJc w:val="left"/>
      <w:pPr>
        <w:tabs>
          <w:tab w:val="num" w:pos="0"/>
        </w:tabs>
        <w:ind w:left="3225" w:hanging="360"/>
      </w:pPr>
      <w:rPr>
        <w:rFonts w:ascii="Symbol" w:hAnsi="Symbol" w:cs="Symbol" w:hint="default"/>
      </w:rPr>
    </w:lvl>
    <w:lvl w:ilvl="4">
      <w:start w:val="1"/>
      <w:numFmt w:val="bullet"/>
      <w:lvlText w:val="o"/>
      <w:lvlJc w:val="left"/>
      <w:pPr>
        <w:tabs>
          <w:tab w:val="num" w:pos="0"/>
        </w:tabs>
        <w:ind w:left="3945" w:hanging="360"/>
      </w:pPr>
      <w:rPr>
        <w:rFonts w:ascii="Courier New" w:hAnsi="Courier New" w:cs="Courier New" w:hint="default"/>
      </w:rPr>
    </w:lvl>
    <w:lvl w:ilvl="5">
      <w:start w:val="1"/>
      <w:numFmt w:val="bullet"/>
      <w:lvlText w:val=""/>
      <w:lvlJc w:val="left"/>
      <w:pPr>
        <w:tabs>
          <w:tab w:val="num" w:pos="0"/>
        </w:tabs>
        <w:ind w:left="4665" w:hanging="360"/>
      </w:pPr>
      <w:rPr>
        <w:rFonts w:ascii="Wingdings" w:hAnsi="Wingdings" w:cs="Wingdings" w:hint="default"/>
      </w:rPr>
    </w:lvl>
    <w:lvl w:ilvl="6">
      <w:start w:val="1"/>
      <w:numFmt w:val="bullet"/>
      <w:lvlText w:val=""/>
      <w:lvlJc w:val="left"/>
      <w:pPr>
        <w:tabs>
          <w:tab w:val="num" w:pos="0"/>
        </w:tabs>
        <w:ind w:left="5385" w:hanging="360"/>
      </w:pPr>
      <w:rPr>
        <w:rFonts w:ascii="Symbol" w:hAnsi="Symbol" w:cs="Symbol" w:hint="default"/>
      </w:rPr>
    </w:lvl>
    <w:lvl w:ilvl="7">
      <w:start w:val="1"/>
      <w:numFmt w:val="bullet"/>
      <w:lvlText w:val="o"/>
      <w:lvlJc w:val="left"/>
      <w:pPr>
        <w:tabs>
          <w:tab w:val="num" w:pos="0"/>
        </w:tabs>
        <w:ind w:left="6105" w:hanging="360"/>
      </w:pPr>
      <w:rPr>
        <w:rFonts w:ascii="Courier New" w:hAnsi="Courier New" w:cs="Courier New" w:hint="default"/>
      </w:rPr>
    </w:lvl>
    <w:lvl w:ilvl="8">
      <w:start w:val="1"/>
      <w:numFmt w:val="bullet"/>
      <w:lvlText w:val=""/>
      <w:lvlJc w:val="left"/>
      <w:pPr>
        <w:tabs>
          <w:tab w:val="num" w:pos="0"/>
        </w:tabs>
        <w:ind w:left="6825" w:hanging="360"/>
      </w:pPr>
      <w:rPr>
        <w:rFonts w:ascii="Wingdings" w:hAnsi="Wingdings" w:cs="Wingdings" w:hint="default"/>
      </w:rPr>
    </w:lvl>
  </w:abstractNum>
  <w:abstractNum w:abstractNumId="2">
    <w:lvl w:ilvl="0">
      <w:start w:val="3"/>
      <w:numFmt w:val="bullet"/>
      <w:lvlText w:val=""/>
      <w:lvlJc w:val="left"/>
      <w:pPr>
        <w:tabs>
          <w:tab w:val="num" w:pos="0"/>
        </w:tabs>
        <w:ind w:left="1065" w:hanging="360"/>
      </w:pPr>
      <w:rPr>
        <w:rFonts w:ascii="Symbol" w:hAnsi="Symbol" w:cs="Symbol" w:hint="default"/>
      </w:rPr>
    </w:lvl>
    <w:lvl w:ilvl="1">
      <w:start w:val="1"/>
      <w:numFmt w:val="bullet"/>
      <w:lvlText w:val="o"/>
      <w:lvlJc w:val="left"/>
      <w:pPr>
        <w:tabs>
          <w:tab w:val="num" w:pos="0"/>
        </w:tabs>
        <w:ind w:left="1785" w:hanging="360"/>
      </w:pPr>
      <w:rPr>
        <w:rFonts w:ascii="Courier New" w:hAnsi="Courier New" w:cs="Courier New" w:hint="default"/>
      </w:rPr>
    </w:lvl>
    <w:lvl w:ilvl="2">
      <w:start w:val="1"/>
      <w:numFmt w:val="bullet"/>
      <w:lvlText w:val=""/>
      <w:lvlJc w:val="left"/>
      <w:pPr>
        <w:tabs>
          <w:tab w:val="num" w:pos="0"/>
        </w:tabs>
        <w:ind w:left="2505" w:hanging="360"/>
      </w:pPr>
      <w:rPr>
        <w:rFonts w:ascii="Wingdings" w:hAnsi="Wingdings" w:cs="Wingdings" w:hint="default"/>
      </w:rPr>
    </w:lvl>
    <w:lvl w:ilvl="3">
      <w:start w:val="1"/>
      <w:numFmt w:val="bullet"/>
      <w:lvlText w:val=""/>
      <w:lvlJc w:val="left"/>
      <w:pPr>
        <w:tabs>
          <w:tab w:val="num" w:pos="0"/>
        </w:tabs>
        <w:ind w:left="3225" w:hanging="360"/>
      </w:pPr>
      <w:rPr>
        <w:rFonts w:ascii="Symbol" w:hAnsi="Symbol" w:cs="Symbol" w:hint="default"/>
      </w:rPr>
    </w:lvl>
    <w:lvl w:ilvl="4">
      <w:start w:val="1"/>
      <w:numFmt w:val="bullet"/>
      <w:lvlText w:val="o"/>
      <w:lvlJc w:val="left"/>
      <w:pPr>
        <w:tabs>
          <w:tab w:val="num" w:pos="0"/>
        </w:tabs>
        <w:ind w:left="3945" w:hanging="360"/>
      </w:pPr>
      <w:rPr>
        <w:rFonts w:ascii="Courier New" w:hAnsi="Courier New" w:cs="Courier New" w:hint="default"/>
      </w:rPr>
    </w:lvl>
    <w:lvl w:ilvl="5">
      <w:start w:val="1"/>
      <w:numFmt w:val="bullet"/>
      <w:lvlText w:val=""/>
      <w:lvlJc w:val="left"/>
      <w:pPr>
        <w:tabs>
          <w:tab w:val="num" w:pos="0"/>
        </w:tabs>
        <w:ind w:left="4665" w:hanging="360"/>
      </w:pPr>
      <w:rPr>
        <w:rFonts w:ascii="Wingdings" w:hAnsi="Wingdings" w:cs="Wingdings" w:hint="default"/>
      </w:rPr>
    </w:lvl>
    <w:lvl w:ilvl="6">
      <w:start w:val="1"/>
      <w:numFmt w:val="bullet"/>
      <w:lvlText w:val=""/>
      <w:lvlJc w:val="left"/>
      <w:pPr>
        <w:tabs>
          <w:tab w:val="num" w:pos="0"/>
        </w:tabs>
        <w:ind w:left="5385" w:hanging="360"/>
      </w:pPr>
      <w:rPr>
        <w:rFonts w:ascii="Symbol" w:hAnsi="Symbol" w:cs="Symbol" w:hint="default"/>
      </w:rPr>
    </w:lvl>
    <w:lvl w:ilvl="7">
      <w:start w:val="1"/>
      <w:numFmt w:val="bullet"/>
      <w:lvlText w:val="o"/>
      <w:lvlJc w:val="left"/>
      <w:pPr>
        <w:tabs>
          <w:tab w:val="num" w:pos="0"/>
        </w:tabs>
        <w:ind w:left="6105" w:hanging="360"/>
      </w:pPr>
      <w:rPr>
        <w:rFonts w:ascii="Courier New" w:hAnsi="Courier New" w:cs="Courier New" w:hint="default"/>
      </w:rPr>
    </w:lvl>
    <w:lvl w:ilvl="8">
      <w:start w:val="1"/>
      <w:numFmt w:val="bullet"/>
      <w:lvlText w:val=""/>
      <w:lvlJc w:val="left"/>
      <w:pPr>
        <w:tabs>
          <w:tab w:val="num" w:pos="0"/>
        </w:tabs>
        <w:ind w:left="6825"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20366"/>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420366"/>
    <w:rPr/>
  </w:style>
  <w:style w:type="character" w:styleId="PieddepageCar" w:customStyle="1">
    <w:name w:val="Pied de page Car"/>
    <w:basedOn w:val="DefaultParagraphFont"/>
    <w:link w:val="Pieddepage"/>
    <w:uiPriority w:val="99"/>
    <w:qFormat/>
    <w:rsid w:val="00420366"/>
    <w:rPr/>
  </w:style>
  <w:style w:type="character" w:styleId="TextedebullesCar" w:customStyle="1">
    <w:name w:val="Texte de bulles Car"/>
    <w:basedOn w:val="DefaultParagraphFont"/>
    <w:link w:val="Textedebulles"/>
    <w:uiPriority w:val="99"/>
    <w:semiHidden/>
    <w:qFormat/>
    <w:rsid w:val="00b97f21"/>
    <w:rPr>
      <w:rFonts w:ascii="Tahoma" w:hAnsi="Tahoma" w:cs="Tahoma"/>
      <w:sz w:val="16"/>
      <w:szCs w:val="16"/>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Entteetpieddepage">
    <w:name w:val="En-tête et pied de page"/>
    <w:basedOn w:val="Normal"/>
    <w:qFormat/>
    <w:pPr/>
    <w:rPr/>
  </w:style>
  <w:style w:type="paragraph" w:styleId="Entte">
    <w:name w:val="Header"/>
    <w:basedOn w:val="Normal"/>
    <w:link w:val="En-tteCar"/>
    <w:uiPriority w:val="99"/>
    <w:unhideWhenUsed/>
    <w:rsid w:val="00420366"/>
    <w:pPr>
      <w:tabs>
        <w:tab w:val="clear" w:pos="708"/>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420366"/>
    <w:pPr>
      <w:tabs>
        <w:tab w:val="clear" w:pos="708"/>
        <w:tab w:val="center" w:pos="4536" w:leader="none"/>
        <w:tab w:val="right" w:pos="9072" w:leader="none"/>
      </w:tabs>
      <w:spacing w:lineRule="auto" w:line="240" w:before="0" w:after="0"/>
    </w:pPr>
    <w:rPr/>
  </w:style>
  <w:style w:type="paragraph" w:styleId="NormalWeb">
    <w:name w:val="Normal (Web)"/>
    <w:basedOn w:val="Normal"/>
    <w:uiPriority w:val="99"/>
    <w:semiHidden/>
    <w:unhideWhenUsed/>
    <w:qFormat/>
    <w:rsid w:val="00420366"/>
    <w:pPr>
      <w:spacing w:lineRule="auto" w:line="240" w:beforeAutospacing="1" w:afterAutospacing="1"/>
    </w:pPr>
    <w:rPr>
      <w:rFonts w:ascii="Times New Roman" w:hAnsi="Times New Roman" w:eastAsia="Times New Roman" w:cs="Times New Roman"/>
      <w:sz w:val="24"/>
      <w:szCs w:val="24"/>
      <w:lang w:eastAsia="fr-FR"/>
    </w:rPr>
  </w:style>
  <w:style w:type="paragraph" w:styleId="ListParagraph">
    <w:name w:val="List Paragraph"/>
    <w:basedOn w:val="Normal"/>
    <w:uiPriority w:val="34"/>
    <w:qFormat/>
    <w:rsid w:val="00a27e25"/>
    <w:pPr>
      <w:spacing w:before="0" w:after="200"/>
      <w:ind w:left="720" w:hanging="0"/>
      <w:contextualSpacing/>
    </w:pPr>
    <w:rPr/>
  </w:style>
  <w:style w:type="paragraph" w:styleId="BalloonText">
    <w:name w:val="Balloon Text"/>
    <w:basedOn w:val="Normal"/>
    <w:link w:val="TextedebullesCar"/>
    <w:uiPriority w:val="99"/>
    <w:semiHidden/>
    <w:unhideWhenUsed/>
    <w:qFormat/>
    <w:rsid w:val="00b97f21"/>
    <w:pPr>
      <w:spacing w:lineRule="auto" w:line="240" w:before="0" w:after="0"/>
    </w:pPr>
    <w:rPr>
      <w:rFonts w:ascii="Tahoma" w:hAnsi="Tahoma" w:cs="Tahoma"/>
      <w:sz w:val="16"/>
      <w:szCs w:val="16"/>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59"/>
    <w:rsid w:val="00493fb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header" Target="head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Application>LibreOffice/7.0.2.2$Windows_X86_64 LibreOffice_project/8349ace3c3162073abd90d81fd06dcfb6b36b994</Application>
  <Pages>4</Pages>
  <Words>1980</Words>
  <Characters>10106</Characters>
  <CharactersWithSpaces>12046</CharactersWithSpaces>
  <Paragraphs>111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2017-02-01T07:55:00Z</dcterms:created>
  <dc:creator>Isa</dc:creator>
  <dc:description/>
  <dc:language>fr-FR</dc:language>
  <cp:lastModifiedBy/>
  <dcterms:modified xsi:type="dcterms:W3CDTF">2021-01-25T17:12:43Z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